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930E1" w:rsidR="004930E1" w:rsidP="004930E1" w:rsidRDefault="004930E1" w14:paraId="0CE57987" w14:textId="77777777">
      <w:pPr>
        <w:shd w:val="clear" w:color="auto" w:fill="FFFFFF"/>
        <w:spacing w:before="83" w:after="0" w:line="288" w:lineRule="atLeast"/>
        <w:jc w:val="center"/>
        <w:textAlignment w:val="baseline"/>
        <w:outlineLvl w:val="0"/>
        <w:rPr>
          <w:rFonts w:ascii="Times New Roman" w:hAnsi="Times New Roman" w:eastAsia="Times New Roman" w:cs="Times New Roman"/>
          <w:b/>
          <w:bCs/>
          <w:color w:val="000000"/>
          <w:kern w:val="36"/>
          <w:sz w:val="41"/>
          <w:szCs w:val="41"/>
          <w:lang w:eastAsia="en-GB"/>
        </w:rPr>
      </w:pPr>
      <w:r w:rsidRPr="004930E1">
        <w:rPr>
          <w:rFonts w:ascii="Times New Roman" w:hAnsi="Times New Roman" w:eastAsia="Times New Roman" w:cs="Times New Roman"/>
          <w:b/>
          <w:bCs/>
          <w:color w:val="000000"/>
          <w:kern w:val="36"/>
          <w:sz w:val="41"/>
          <w:szCs w:val="41"/>
          <w:lang w:eastAsia="en-GB"/>
        </w:rPr>
        <w:t>Electricity (Safety) Regulations 2010</w:t>
      </w:r>
    </w:p>
    <w:p w:rsidRPr="004930E1" w:rsidR="004930E1" w:rsidP="004930E1" w:rsidRDefault="004930E1" w14:paraId="5A73E205" w14:textId="77777777">
      <w:pPr>
        <w:shd w:val="clear" w:color="auto" w:fill="FFFFFF"/>
        <w:spacing w:before="83" w:after="0" w:line="288" w:lineRule="atLeast"/>
        <w:jc w:val="center"/>
        <w:textAlignment w:val="baseline"/>
        <w:rPr>
          <w:rFonts w:ascii="Times New Roman" w:hAnsi="Times New Roman" w:eastAsia="Times New Roman" w:cs="Times New Roman"/>
          <w:color w:val="000000"/>
          <w:sz w:val="25"/>
          <w:szCs w:val="25"/>
          <w:lang w:eastAsia="en-GB"/>
        </w:rPr>
      </w:pPr>
      <w:r w:rsidRPr="004930E1">
        <w:rPr>
          <w:rFonts w:ascii="Times New Roman" w:hAnsi="Times New Roman" w:eastAsia="Times New Roman" w:cs="Times New Roman"/>
          <w:color w:val="000000"/>
          <w:sz w:val="25"/>
          <w:szCs w:val="25"/>
          <w:lang w:eastAsia="en-GB"/>
        </w:rPr>
        <w:t>(SR 2010/36)</w:t>
      </w:r>
    </w:p>
    <w:p w:rsidR="004930E1" w:rsidRDefault="004930E1" w14:paraId="035602E6" w14:textId="77777777"/>
    <w:p w:rsidR="00C949B7" w:rsidRDefault="00BA5042" w14:paraId="33393EC1" w14:textId="77CFC3FC">
      <w:hyperlink w:history="1" w:anchor="DLM2763790" r:id="rId5">
        <w:r w:rsidRPr="00C9000B" w:rsidR="004930E1">
          <w:rPr>
            <w:rStyle w:val="Hyperlink"/>
          </w:rPr>
          <w:t>https://www.legislation.govt.nz/regulation/public/2010/0036/latest/whole.html#DLM2763790</w:t>
        </w:r>
      </w:hyperlink>
      <w:r w:rsidR="00C949B7">
        <w:t xml:space="preserve"> </w:t>
      </w:r>
    </w:p>
    <w:p w:rsidR="007B57DC" w:rsidRDefault="00C949B7" w14:paraId="1AF9679C" w14:textId="52EB9829">
      <w:r>
        <w:t>13)</w:t>
      </w:r>
    </w:p>
    <w:p w:rsidR="00C949B7" w:rsidP="00C949B7" w:rsidRDefault="00C949B7" w14:paraId="26ADA3F0" w14:textId="77777777">
      <w:r>
        <w:t>(2)</w:t>
      </w:r>
    </w:p>
    <w:p w:rsidR="00C949B7" w:rsidP="00C949B7" w:rsidRDefault="00C949B7" w14:paraId="6E76E2EF" w14:textId="77777777">
      <w:r>
        <w:t>A person who does work on any fittings or appliances must ensure that—</w:t>
      </w:r>
    </w:p>
    <w:p w:rsidR="00C949B7" w:rsidP="00C949B7" w:rsidRDefault="00C949B7" w14:paraId="61ECE63B" w14:textId="77777777">
      <w:r>
        <w:t>(a)</w:t>
      </w:r>
    </w:p>
    <w:p w:rsidR="00C949B7" w:rsidP="00C949B7" w:rsidRDefault="00C949B7" w14:paraId="58494591" w14:textId="77777777">
      <w:r>
        <w:t>the resulting fittings or appliances are electrically safe; and</w:t>
      </w:r>
    </w:p>
    <w:p w:rsidR="00C949B7" w:rsidP="00C949B7" w:rsidRDefault="00C949B7" w14:paraId="0DFEA73E" w14:textId="77777777">
      <w:r>
        <w:t>(b)</w:t>
      </w:r>
    </w:p>
    <w:p w:rsidR="00C949B7" w:rsidP="00C949B7" w:rsidRDefault="00C949B7" w14:paraId="74416BA4" w14:textId="0B7B4C36">
      <w:r>
        <w:t>in the case of mining electrical equipment or conductors supplying that equipment, the resulting equipment and conductors comply with the applicable requirements of Part 5A and Schedule 8.</w:t>
      </w:r>
    </w:p>
    <w:p w:rsidRPr="00C949B7" w:rsidR="00C949B7" w:rsidP="00C949B7" w:rsidRDefault="00C949B7" w14:paraId="228708B7" w14:textId="77777777">
      <w:pPr>
        <w:shd w:val="clear" w:color="auto" w:fill="FFFFFF"/>
        <w:spacing w:before="209" w:after="0" w:line="288" w:lineRule="atLeast"/>
        <w:textAlignment w:val="baseline"/>
        <w:outlineLvl w:val="4"/>
        <w:rPr>
          <w:rFonts w:ascii="Times New Roman" w:hAnsi="Times New Roman" w:eastAsia="Times New Roman" w:cs="Times New Roman"/>
          <w:b/>
          <w:bCs/>
          <w:color w:val="000000"/>
          <w:sz w:val="29"/>
          <w:szCs w:val="29"/>
          <w:lang w:eastAsia="en-GB"/>
        </w:rPr>
      </w:pPr>
      <w:r w:rsidRPr="00C949B7">
        <w:rPr>
          <w:rFonts w:ascii="Times New Roman" w:hAnsi="Times New Roman" w:eastAsia="Times New Roman" w:cs="Times New Roman"/>
          <w:b/>
          <w:bCs/>
          <w:color w:val="000000"/>
          <w:sz w:val="29"/>
          <w:szCs w:val="29"/>
          <w:lang w:eastAsia="en-GB"/>
        </w:rPr>
        <w:t>New and used fittings and appliances to be electrically safe</w:t>
      </w:r>
    </w:p>
    <w:p w:rsidRPr="00C949B7" w:rsidR="00C949B7" w:rsidP="00C949B7" w:rsidRDefault="00C949B7" w14:paraId="31661EE3" w14:textId="77777777">
      <w:pPr>
        <w:shd w:val="clear" w:color="auto" w:fill="FFFFFF"/>
        <w:spacing w:after="0" w:line="288" w:lineRule="atLeast"/>
        <w:jc w:val="both"/>
        <w:textAlignment w:val="baseline"/>
        <w:rPr>
          <w:rFonts w:ascii="Times New Roman" w:hAnsi="Times New Roman" w:eastAsia="Times New Roman" w:cs="Times New Roman"/>
          <w:color w:val="000000"/>
          <w:sz w:val="25"/>
          <w:szCs w:val="25"/>
          <w:lang w:eastAsia="en-GB"/>
        </w:rPr>
      </w:pPr>
      <w:r w:rsidRPr="00C949B7">
        <w:rPr>
          <w:rFonts w:ascii="Times New Roman" w:hAnsi="Times New Roman" w:eastAsia="Times New Roman" w:cs="Times New Roman"/>
          <w:color w:val="000000"/>
          <w:sz w:val="25"/>
          <w:szCs w:val="25"/>
          <w:bdr w:val="none" w:color="auto" w:sz="0" w:space="0" w:frame="1"/>
          <w:lang w:eastAsia="en-GB"/>
        </w:rPr>
        <w:t>(1)</w:t>
      </w:r>
    </w:p>
    <w:p w:rsidRPr="00C949B7" w:rsidR="00C949B7" w:rsidP="00C949B7" w:rsidRDefault="00C949B7" w14:paraId="35BBAC1A" w14:textId="77777777">
      <w:pPr>
        <w:shd w:val="clear" w:color="auto" w:fill="FFFFFF"/>
        <w:spacing w:after="0" w:line="288" w:lineRule="atLeast"/>
        <w:textAlignment w:val="baseline"/>
        <w:rPr>
          <w:rFonts w:ascii="Times New Roman" w:hAnsi="Times New Roman" w:eastAsia="Times New Roman" w:cs="Times New Roman"/>
          <w:color w:val="000000"/>
          <w:sz w:val="25"/>
          <w:szCs w:val="25"/>
          <w:lang w:eastAsia="en-GB"/>
        </w:rPr>
      </w:pPr>
      <w:r w:rsidRPr="00C949B7">
        <w:rPr>
          <w:rFonts w:ascii="Times New Roman" w:hAnsi="Times New Roman" w:eastAsia="Times New Roman" w:cs="Times New Roman"/>
          <w:color w:val="000000"/>
          <w:sz w:val="25"/>
          <w:szCs w:val="25"/>
          <w:lang w:eastAsia="en-GB"/>
        </w:rPr>
        <w:t>Every new or used fitting, and every new or used appliance, that is </w:t>
      </w:r>
      <w:r w:rsidRPr="00C949B7">
        <w:rPr>
          <w:rFonts w:ascii="Times New Roman" w:hAnsi="Times New Roman" w:eastAsia="Times New Roman" w:cs="Times New Roman"/>
          <w:color w:val="000000"/>
          <w:sz w:val="25"/>
          <w:szCs w:val="25"/>
          <w:bdr w:val="none" w:color="auto" w:sz="0" w:space="0" w:frame="1"/>
          <w:lang w:eastAsia="en-GB"/>
        </w:rPr>
        <w:t>sold, offered for sale, supplied, or offered for supply</w:t>
      </w:r>
      <w:r w:rsidRPr="00C949B7">
        <w:rPr>
          <w:rFonts w:ascii="Times New Roman" w:hAnsi="Times New Roman" w:eastAsia="Times New Roman" w:cs="Times New Roman"/>
          <w:color w:val="000000"/>
          <w:sz w:val="25"/>
          <w:szCs w:val="25"/>
          <w:lang w:eastAsia="en-GB"/>
        </w:rPr>
        <w:t> must be electrically safe.</w:t>
      </w:r>
    </w:p>
    <w:p w:rsidRPr="00C949B7" w:rsidR="00C949B7" w:rsidP="00C949B7" w:rsidRDefault="00C949B7" w14:paraId="7BC63FC7" w14:textId="77777777">
      <w:pPr>
        <w:shd w:val="clear" w:color="auto" w:fill="FFFFFF"/>
        <w:spacing w:after="0" w:line="288" w:lineRule="atLeast"/>
        <w:jc w:val="both"/>
        <w:textAlignment w:val="baseline"/>
        <w:rPr>
          <w:rFonts w:ascii="Times New Roman" w:hAnsi="Times New Roman" w:eastAsia="Times New Roman" w:cs="Times New Roman"/>
          <w:color w:val="000000"/>
          <w:sz w:val="25"/>
          <w:szCs w:val="25"/>
          <w:lang w:eastAsia="en-GB"/>
        </w:rPr>
      </w:pPr>
      <w:r w:rsidRPr="00C949B7">
        <w:rPr>
          <w:rFonts w:ascii="Times New Roman" w:hAnsi="Times New Roman" w:eastAsia="Times New Roman" w:cs="Times New Roman"/>
          <w:color w:val="000000"/>
          <w:sz w:val="25"/>
          <w:szCs w:val="25"/>
          <w:bdr w:val="none" w:color="auto" w:sz="0" w:space="0" w:frame="1"/>
          <w:lang w:eastAsia="en-GB"/>
        </w:rPr>
        <w:t>(2)</w:t>
      </w:r>
    </w:p>
    <w:p w:rsidRPr="00C949B7" w:rsidR="00C949B7" w:rsidP="00C949B7" w:rsidRDefault="00C949B7" w14:paraId="7F89A96E" w14:textId="77777777">
      <w:pPr>
        <w:shd w:val="clear" w:color="auto" w:fill="FFFFFF"/>
        <w:spacing w:after="0" w:line="288" w:lineRule="atLeast"/>
        <w:textAlignment w:val="baseline"/>
        <w:rPr>
          <w:rFonts w:ascii="Times New Roman" w:hAnsi="Times New Roman" w:eastAsia="Times New Roman" w:cs="Times New Roman"/>
          <w:color w:val="000000"/>
          <w:sz w:val="25"/>
          <w:szCs w:val="25"/>
          <w:lang w:eastAsia="en-GB"/>
        </w:rPr>
      </w:pPr>
      <w:r w:rsidRPr="00C949B7">
        <w:rPr>
          <w:rFonts w:ascii="Times New Roman" w:hAnsi="Times New Roman" w:eastAsia="Times New Roman" w:cs="Times New Roman"/>
          <w:color w:val="000000"/>
          <w:sz w:val="25"/>
          <w:szCs w:val="25"/>
          <w:lang w:eastAsia="en-GB"/>
        </w:rPr>
        <w:t>A new fitting or appliance </w:t>
      </w:r>
      <w:r w:rsidRPr="00C949B7">
        <w:rPr>
          <w:rFonts w:ascii="Times New Roman" w:hAnsi="Times New Roman" w:eastAsia="Times New Roman" w:cs="Times New Roman"/>
          <w:color w:val="000000"/>
          <w:sz w:val="25"/>
          <w:szCs w:val="25"/>
          <w:bdr w:val="none" w:color="auto" w:sz="0" w:space="0" w:frame="1"/>
          <w:lang w:eastAsia="en-GB"/>
        </w:rPr>
        <w:t>is, for the purpose of this regulation, deemed to be electrically safe</w:t>
      </w:r>
      <w:r w:rsidRPr="00C949B7">
        <w:rPr>
          <w:rFonts w:ascii="Times New Roman" w:hAnsi="Times New Roman" w:eastAsia="Times New Roman" w:cs="Times New Roman"/>
          <w:color w:val="000000"/>
          <w:sz w:val="25"/>
          <w:szCs w:val="25"/>
          <w:lang w:eastAsia="en-GB"/>
        </w:rPr>
        <w:t> if—</w:t>
      </w:r>
    </w:p>
    <w:p w:rsidRPr="00C949B7" w:rsidR="00C949B7" w:rsidP="00C949B7" w:rsidRDefault="00C949B7" w14:paraId="5F35CFC7" w14:textId="77777777">
      <w:pPr>
        <w:shd w:val="clear" w:color="auto" w:fill="FFFFFF"/>
        <w:spacing w:after="0" w:line="288" w:lineRule="atLeast"/>
        <w:jc w:val="both"/>
        <w:textAlignment w:val="baseline"/>
        <w:outlineLvl w:val="4"/>
        <w:rPr>
          <w:rFonts w:ascii="Times New Roman" w:hAnsi="Times New Roman" w:eastAsia="Times New Roman" w:cs="Times New Roman"/>
          <w:color w:val="000000"/>
          <w:sz w:val="20"/>
          <w:szCs w:val="20"/>
          <w:lang w:eastAsia="en-GB"/>
        </w:rPr>
      </w:pPr>
      <w:r w:rsidRPr="00C949B7">
        <w:rPr>
          <w:rFonts w:ascii="Times New Roman" w:hAnsi="Times New Roman" w:eastAsia="Times New Roman" w:cs="Times New Roman"/>
          <w:color w:val="000000"/>
          <w:sz w:val="20"/>
          <w:szCs w:val="20"/>
          <w:bdr w:val="none" w:color="auto" w:sz="0" w:space="0" w:frame="1"/>
          <w:lang w:eastAsia="en-GB"/>
        </w:rPr>
        <w:t>(a)</w:t>
      </w:r>
    </w:p>
    <w:p w:rsidRPr="00C949B7" w:rsidR="00C949B7" w:rsidP="00C949B7" w:rsidRDefault="00C949B7" w14:paraId="2E70F802" w14:textId="77777777">
      <w:pPr>
        <w:shd w:val="clear" w:color="auto" w:fill="FFFFFF"/>
        <w:spacing w:after="0" w:line="288" w:lineRule="atLeast"/>
        <w:textAlignment w:val="baseline"/>
        <w:rPr>
          <w:rFonts w:ascii="Times New Roman" w:hAnsi="Times New Roman" w:eastAsia="Times New Roman" w:cs="Times New Roman"/>
          <w:color w:val="000000"/>
          <w:sz w:val="25"/>
          <w:szCs w:val="25"/>
          <w:lang w:eastAsia="en-GB"/>
        </w:rPr>
      </w:pPr>
      <w:r w:rsidRPr="00C949B7">
        <w:rPr>
          <w:rFonts w:ascii="Times New Roman" w:hAnsi="Times New Roman" w:eastAsia="Times New Roman" w:cs="Times New Roman"/>
          <w:color w:val="000000"/>
          <w:sz w:val="25"/>
          <w:szCs w:val="25"/>
          <w:lang w:eastAsia="en-GB"/>
        </w:rPr>
        <w:t>it complies with—</w:t>
      </w:r>
    </w:p>
    <w:p w:rsidRPr="00C949B7" w:rsidR="00C949B7" w:rsidP="00C949B7" w:rsidRDefault="00C949B7" w14:paraId="3EE74216" w14:textId="77777777">
      <w:pPr>
        <w:shd w:val="clear" w:color="auto" w:fill="FFFFFF"/>
        <w:spacing w:after="0" w:line="288" w:lineRule="atLeast"/>
        <w:jc w:val="both"/>
        <w:textAlignment w:val="baseline"/>
        <w:outlineLvl w:val="4"/>
        <w:rPr>
          <w:rFonts w:ascii="Times New Roman" w:hAnsi="Times New Roman" w:eastAsia="Times New Roman" w:cs="Times New Roman"/>
          <w:color w:val="000000"/>
          <w:sz w:val="20"/>
          <w:szCs w:val="20"/>
          <w:lang w:eastAsia="en-GB"/>
        </w:rPr>
      </w:pPr>
      <w:r w:rsidRPr="00C949B7">
        <w:rPr>
          <w:rFonts w:ascii="Times New Roman" w:hAnsi="Times New Roman" w:eastAsia="Times New Roman" w:cs="Times New Roman"/>
          <w:color w:val="000000"/>
          <w:sz w:val="20"/>
          <w:szCs w:val="20"/>
          <w:bdr w:val="none" w:color="auto" w:sz="0" w:space="0" w:frame="1"/>
          <w:lang w:eastAsia="en-GB"/>
        </w:rPr>
        <w:t>(</w:t>
      </w:r>
      <w:proofErr w:type="spellStart"/>
      <w:r w:rsidRPr="00C949B7">
        <w:rPr>
          <w:rFonts w:ascii="Times New Roman" w:hAnsi="Times New Roman" w:eastAsia="Times New Roman" w:cs="Times New Roman"/>
          <w:color w:val="000000"/>
          <w:sz w:val="20"/>
          <w:szCs w:val="20"/>
          <w:bdr w:val="none" w:color="auto" w:sz="0" w:space="0" w:frame="1"/>
          <w:lang w:eastAsia="en-GB"/>
        </w:rPr>
        <w:t>i</w:t>
      </w:r>
      <w:proofErr w:type="spellEnd"/>
      <w:r w:rsidRPr="00C949B7">
        <w:rPr>
          <w:rFonts w:ascii="Times New Roman" w:hAnsi="Times New Roman" w:eastAsia="Times New Roman" w:cs="Times New Roman"/>
          <w:color w:val="000000"/>
          <w:sz w:val="20"/>
          <w:szCs w:val="20"/>
          <w:bdr w:val="none" w:color="auto" w:sz="0" w:space="0" w:frame="1"/>
          <w:lang w:eastAsia="en-GB"/>
        </w:rPr>
        <w:t>)</w:t>
      </w:r>
    </w:p>
    <w:p w:rsidRPr="00C949B7" w:rsidR="00C949B7" w:rsidP="00C949B7" w:rsidRDefault="00C949B7" w14:paraId="48DF2C45" w14:textId="77777777">
      <w:pPr>
        <w:shd w:val="clear" w:color="auto" w:fill="FFFFFF"/>
        <w:spacing w:after="0" w:line="288" w:lineRule="atLeast"/>
        <w:textAlignment w:val="baseline"/>
        <w:rPr>
          <w:rFonts w:ascii="Times New Roman" w:hAnsi="Times New Roman" w:eastAsia="Times New Roman" w:cs="Times New Roman"/>
          <w:color w:val="000000"/>
          <w:sz w:val="25"/>
          <w:szCs w:val="25"/>
          <w:lang w:eastAsia="en-GB"/>
        </w:rPr>
      </w:pPr>
      <w:r w:rsidRPr="00C949B7">
        <w:rPr>
          <w:rFonts w:ascii="Times New Roman" w:hAnsi="Times New Roman" w:eastAsia="Times New Roman" w:cs="Times New Roman"/>
          <w:color w:val="000000"/>
          <w:sz w:val="25"/>
          <w:szCs w:val="25"/>
          <w:lang w:eastAsia="en-GB"/>
        </w:rPr>
        <w:t>AS/NZS 3820; or</w:t>
      </w:r>
    </w:p>
    <w:p w:rsidRPr="00C949B7" w:rsidR="00C949B7" w:rsidP="00C949B7" w:rsidRDefault="00C949B7" w14:paraId="34B22A95" w14:textId="77777777">
      <w:pPr>
        <w:shd w:val="clear" w:color="auto" w:fill="FFFFFF"/>
        <w:spacing w:after="0" w:line="288" w:lineRule="atLeast"/>
        <w:jc w:val="both"/>
        <w:textAlignment w:val="baseline"/>
        <w:outlineLvl w:val="4"/>
        <w:rPr>
          <w:rFonts w:ascii="Times New Roman" w:hAnsi="Times New Roman" w:eastAsia="Times New Roman" w:cs="Times New Roman"/>
          <w:color w:val="000000"/>
          <w:sz w:val="20"/>
          <w:szCs w:val="20"/>
          <w:lang w:eastAsia="en-GB"/>
        </w:rPr>
      </w:pPr>
      <w:r w:rsidRPr="00C949B7">
        <w:rPr>
          <w:rFonts w:ascii="Times New Roman" w:hAnsi="Times New Roman" w:eastAsia="Times New Roman" w:cs="Times New Roman"/>
          <w:color w:val="000000"/>
          <w:sz w:val="20"/>
          <w:szCs w:val="20"/>
          <w:bdr w:val="none" w:color="auto" w:sz="0" w:space="0" w:frame="1"/>
          <w:lang w:eastAsia="en-GB"/>
        </w:rPr>
        <w:t>(ii)</w:t>
      </w:r>
    </w:p>
    <w:p w:rsidRPr="00C949B7" w:rsidR="00C949B7" w:rsidP="00C949B7" w:rsidRDefault="00C949B7" w14:paraId="321875F7" w14:textId="77777777">
      <w:pPr>
        <w:shd w:val="clear" w:color="auto" w:fill="FFFFFF"/>
        <w:spacing w:after="0" w:line="288" w:lineRule="atLeast"/>
        <w:textAlignment w:val="baseline"/>
        <w:rPr>
          <w:rFonts w:ascii="Times New Roman" w:hAnsi="Times New Roman" w:eastAsia="Times New Roman" w:cs="Times New Roman"/>
          <w:color w:val="000000"/>
          <w:sz w:val="25"/>
          <w:szCs w:val="25"/>
          <w:lang w:eastAsia="en-GB"/>
        </w:rPr>
      </w:pPr>
      <w:r w:rsidRPr="00C949B7">
        <w:rPr>
          <w:rFonts w:ascii="Times New Roman" w:hAnsi="Times New Roman" w:eastAsia="Times New Roman" w:cs="Times New Roman"/>
          <w:color w:val="000000"/>
          <w:sz w:val="25"/>
          <w:szCs w:val="25"/>
          <w:lang w:eastAsia="en-GB"/>
        </w:rPr>
        <w:t>whichever official standard listed in </w:t>
      </w:r>
      <w:hyperlink w:history="1" w:anchor="DLM2763790" r:id="rId6">
        <w:r w:rsidRPr="00C949B7">
          <w:rPr>
            <w:rFonts w:ascii="Times New Roman" w:hAnsi="Times New Roman" w:eastAsia="Times New Roman" w:cs="Times New Roman"/>
            <w:color w:val="0000FF"/>
            <w:sz w:val="25"/>
            <w:szCs w:val="25"/>
            <w:u w:val="single"/>
            <w:bdr w:val="none" w:color="auto" w:sz="0" w:space="0" w:frame="1"/>
            <w:lang w:eastAsia="en-GB"/>
          </w:rPr>
          <w:t>Schedule 4</w:t>
        </w:r>
      </w:hyperlink>
      <w:r w:rsidRPr="00C949B7">
        <w:rPr>
          <w:rFonts w:ascii="Times New Roman" w:hAnsi="Times New Roman" w:eastAsia="Times New Roman" w:cs="Times New Roman"/>
          <w:color w:val="000000"/>
          <w:sz w:val="25"/>
          <w:szCs w:val="25"/>
          <w:lang w:eastAsia="en-GB"/>
        </w:rPr>
        <w:t> applies to the fitting or appliance; or</w:t>
      </w:r>
    </w:p>
    <w:p w:rsidRPr="00C949B7" w:rsidR="00C949B7" w:rsidP="00C949B7" w:rsidRDefault="00C949B7" w14:paraId="6F72446B" w14:textId="77777777">
      <w:pPr>
        <w:shd w:val="clear" w:color="auto" w:fill="FFFFFF"/>
        <w:spacing w:after="0" w:line="288" w:lineRule="atLeast"/>
        <w:jc w:val="both"/>
        <w:textAlignment w:val="baseline"/>
        <w:outlineLvl w:val="4"/>
        <w:rPr>
          <w:rFonts w:ascii="Times New Roman" w:hAnsi="Times New Roman" w:eastAsia="Times New Roman" w:cs="Times New Roman"/>
          <w:color w:val="000000"/>
          <w:sz w:val="20"/>
          <w:szCs w:val="20"/>
          <w:lang w:eastAsia="en-GB"/>
        </w:rPr>
      </w:pPr>
      <w:r w:rsidRPr="00C949B7">
        <w:rPr>
          <w:rFonts w:ascii="Times New Roman" w:hAnsi="Times New Roman" w:eastAsia="Times New Roman" w:cs="Times New Roman"/>
          <w:color w:val="000000"/>
          <w:sz w:val="20"/>
          <w:szCs w:val="20"/>
          <w:bdr w:val="none" w:color="auto" w:sz="0" w:space="0" w:frame="1"/>
          <w:lang w:eastAsia="en-GB"/>
        </w:rPr>
        <w:t>(b)</w:t>
      </w:r>
    </w:p>
    <w:p w:rsidRPr="00C949B7" w:rsidR="00C949B7" w:rsidP="00C949B7" w:rsidRDefault="00C949B7" w14:paraId="0DB7A5D9" w14:textId="77777777">
      <w:pPr>
        <w:shd w:val="clear" w:color="auto" w:fill="FFFFFF"/>
        <w:spacing w:after="0" w:line="288" w:lineRule="atLeast"/>
        <w:textAlignment w:val="baseline"/>
        <w:rPr>
          <w:rFonts w:ascii="Times New Roman" w:hAnsi="Times New Roman" w:eastAsia="Times New Roman" w:cs="Times New Roman"/>
          <w:color w:val="000000"/>
          <w:sz w:val="25"/>
          <w:szCs w:val="25"/>
          <w:lang w:eastAsia="en-GB"/>
        </w:rPr>
      </w:pPr>
      <w:r w:rsidRPr="00C949B7">
        <w:rPr>
          <w:rFonts w:ascii="Times New Roman" w:hAnsi="Times New Roman" w:eastAsia="Times New Roman" w:cs="Times New Roman"/>
          <w:color w:val="000000"/>
          <w:sz w:val="25"/>
          <w:szCs w:val="25"/>
          <w:lang w:eastAsia="en-GB"/>
        </w:rPr>
        <w:t>in relation to an appliance imported into New Zealand in purported compliance with the Conformity Cooperation Agreement, it complies with the requirements of that Agreement.</w:t>
      </w:r>
    </w:p>
    <w:p w:rsidR="00C949B7" w:rsidP="00C949B7" w:rsidRDefault="00C949B7" w14:paraId="142769A5" w14:textId="59623BBD"/>
    <w:tbl>
      <w:tblPr>
        <w:tblW w:w="5008" w:type="pct"/>
        <w:shd w:val="clear" w:color="auto" w:fill="FFFFFF"/>
        <w:tblLayout w:type="fixed"/>
        <w:tblCellMar>
          <w:left w:w="0" w:type="dxa"/>
          <w:right w:w="0" w:type="dxa"/>
        </w:tblCellMar>
        <w:tblLook w:val="04A0" w:firstRow="1" w:lastRow="0" w:firstColumn="1" w:lastColumn="0" w:noHBand="0" w:noVBand="1"/>
        <w:tblDescription w:val="The following table is medium in size and has 2 columns. Column 1 is headed Power transformers, power supplies, reactors, and similar products. Column 2 is headed Applicable standard."/>
      </w:tblPr>
      <w:tblGrid>
        <w:gridCol w:w="5446"/>
        <w:gridCol w:w="20"/>
        <w:gridCol w:w="3574"/>
      </w:tblGrid>
      <w:tr w:rsidRPr="00C949B7" w:rsidR="00C949B7" w:rsidTr="00D40A4C" w14:paraId="46488940" w14:textId="77777777">
        <w:tc>
          <w:tcPr>
            <w:tcW w:w="3012" w:type="pct"/>
            <w:tcBorders>
              <w:top w:val="nil"/>
              <w:left w:val="nil"/>
              <w:bottom w:val="nil"/>
              <w:right w:val="nil"/>
            </w:tcBorders>
            <w:shd w:val="clear" w:color="auto" w:fill="FFFFFF"/>
            <w:tcMar>
              <w:top w:w="0" w:type="dxa"/>
              <w:left w:w="0" w:type="dxa"/>
              <w:bottom w:w="62" w:type="dxa"/>
              <w:right w:w="0" w:type="dxa"/>
            </w:tcMar>
            <w:hideMark/>
          </w:tcPr>
          <w:p w:rsidRPr="00C949B7" w:rsidR="00C949B7" w:rsidP="00C949B7" w:rsidRDefault="00C949B7" w14:paraId="4AFC1CAB" w14:textId="77777777">
            <w:pPr>
              <w:spacing w:after="0" w:line="240" w:lineRule="auto"/>
              <w:rPr>
                <w:rFonts w:ascii="Times New Roman" w:hAnsi="Times New Roman" w:eastAsia="Times New Roman" w:cs="Times New Roman"/>
                <w:color w:val="000000"/>
                <w:sz w:val="21"/>
                <w:szCs w:val="21"/>
                <w:lang w:eastAsia="en-GB"/>
              </w:rPr>
            </w:pPr>
            <w:r w:rsidRPr="00C949B7">
              <w:rPr>
                <w:rFonts w:ascii="Times New Roman" w:hAnsi="Times New Roman" w:eastAsia="Times New Roman" w:cs="Times New Roman"/>
                <w:color w:val="000000"/>
                <w:sz w:val="21"/>
                <w:szCs w:val="21"/>
                <w:lang w:eastAsia="en-GB"/>
              </w:rPr>
              <w:t>Switch mode power supply units and transformers for switch mode power supply units</w:t>
            </w:r>
          </w:p>
        </w:tc>
        <w:tc>
          <w:tcPr>
            <w:tcW w:w="11" w:type="pct"/>
            <w:tcBorders>
              <w:top w:val="nil"/>
              <w:left w:val="nil"/>
              <w:bottom w:val="nil"/>
              <w:right w:val="nil"/>
            </w:tcBorders>
            <w:shd w:val="clear" w:color="auto" w:fill="FFFFFF"/>
            <w:tcMar>
              <w:top w:w="0" w:type="dxa"/>
              <w:left w:w="0" w:type="dxa"/>
              <w:bottom w:w="62" w:type="dxa"/>
              <w:right w:w="0" w:type="dxa"/>
            </w:tcMar>
            <w:hideMark/>
          </w:tcPr>
          <w:p w:rsidRPr="00C949B7" w:rsidR="00C949B7" w:rsidP="00C949B7" w:rsidRDefault="00C949B7" w14:paraId="44E4B8FE" w14:textId="77777777">
            <w:pPr>
              <w:spacing w:after="0" w:line="240" w:lineRule="auto"/>
              <w:rPr>
                <w:rFonts w:ascii="Times New Roman" w:hAnsi="Times New Roman" w:eastAsia="Times New Roman" w:cs="Times New Roman"/>
                <w:color w:val="000000"/>
                <w:sz w:val="21"/>
                <w:szCs w:val="21"/>
                <w:lang w:eastAsia="en-GB"/>
              </w:rPr>
            </w:pPr>
          </w:p>
        </w:tc>
        <w:tc>
          <w:tcPr>
            <w:tcW w:w="3574" w:type="dxa"/>
            <w:tcBorders>
              <w:top w:val="nil"/>
              <w:left w:val="nil"/>
              <w:bottom w:val="nil"/>
              <w:right w:val="nil"/>
            </w:tcBorders>
            <w:shd w:val="clear" w:color="auto" w:fill="FFFFFF"/>
            <w:tcMar>
              <w:top w:w="0" w:type="dxa"/>
              <w:left w:w="0" w:type="dxa"/>
              <w:bottom w:w="62" w:type="dxa"/>
              <w:right w:w="0" w:type="dxa"/>
            </w:tcMar>
            <w:hideMark/>
          </w:tcPr>
          <w:p w:rsidRPr="00C949B7" w:rsidR="00C949B7" w:rsidP="00C949B7" w:rsidRDefault="00C949B7" w14:paraId="1599BF31" w14:textId="77777777">
            <w:pPr>
              <w:spacing w:after="0" w:line="240" w:lineRule="auto"/>
              <w:rPr>
                <w:rFonts w:ascii="Times New Roman" w:hAnsi="Times New Roman" w:eastAsia="Times New Roman" w:cs="Times New Roman"/>
                <w:color w:val="000000"/>
                <w:sz w:val="21"/>
                <w:szCs w:val="21"/>
                <w:lang w:eastAsia="en-GB"/>
              </w:rPr>
            </w:pPr>
            <w:r w:rsidRPr="00C949B7">
              <w:rPr>
                <w:rFonts w:ascii="Times New Roman" w:hAnsi="Times New Roman" w:eastAsia="Times New Roman" w:cs="Times New Roman"/>
                <w:color w:val="000000"/>
                <w:sz w:val="21"/>
                <w:szCs w:val="21"/>
                <w:lang w:eastAsia="en-GB"/>
              </w:rPr>
              <w:t>Standard N in conjunction with IEC 61558-2-16 Ed 1.0</w:t>
            </w:r>
          </w:p>
        </w:tc>
      </w:tr>
    </w:tbl>
    <w:p w:rsidR="00C949B7" w:rsidP="00C949B7" w:rsidRDefault="006F7D31" w14:paraId="289AAD8F" w14:textId="6C567F50">
      <w:r>
        <w:rPr>
          <w:rStyle w:val="HTMLDefinition"/>
          <w:b/>
          <w:bCs/>
          <w:i w:val="0"/>
          <w:iCs w:val="0"/>
          <w:color w:val="000000"/>
          <w:sz w:val="25"/>
          <w:szCs w:val="25"/>
          <w:bdr w:val="none" w:color="auto" w:sz="0" w:space="0" w:frame="1"/>
        </w:rPr>
        <w:t>standard N</w:t>
      </w:r>
      <w:r>
        <w:rPr>
          <w:color w:val="000000"/>
          <w:sz w:val="25"/>
          <w:szCs w:val="25"/>
          <w:shd w:val="clear" w:color="auto" w:fill="FFFFFF"/>
        </w:rPr>
        <w:t> means IEC 61558-1 Ed 2.1 as modified by Annex ZZ of AS/NZS 61558.1:2008, including Amendment 1</w:t>
      </w:r>
    </w:p>
    <w:tbl>
      <w:tblPr>
        <w:tblW w:w="5000" w:type="pct"/>
        <w:shd w:val="clear" w:color="auto" w:fill="FFFFFF"/>
        <w:tblCellMar>
          <w:left w:w="0" w:type="dxa"/>
          <w:right w:w="0" w:type="dxa"/>
        </w:tblCellMar>
        <w:tblLook w:val="04A0" w:firstRow="1" w:lastRow="0" w:firstColumn="1" w:lastColumn="0" w:noHBand="0" w:noVBand="1"/>
        <w:tblDescription w:val="The following table is large in size and has 2 columns. Column 1 is headed Household and similar electrical appliances. Column 2 is headed Applicable standard."/>
      </w:tblPr>
      <w:tblGrid>
        <w:gridCol w:w="2952"/>
        <w:gridCol w:w="6"/>
        <w:gridCol w:w="6068"/>
      </w:tblGrid>
      <w:tr w:rsidRPr="00C949B7" w:rsidR="00C949B7" w:rsidTr="00C949B7" w14:paraId="03CBB104" w14:textId="77777777">
        <w:tc>
          <w:tcPr>
            <w:tcW w:w="0" w:type="auto"/>
            <w:tcBorders>
              <w:top w:val="nil"/>
              <w:left w:val="nil"/>
              <w:bottom w:val="nil"/>
              <w:right w:val="nil"/>
            </w:tcBorders>
            <w:shd w:val="clear" w:color="auto" w:fill="FFFFFF"/>
            <w:tcMar>
              <w:top w:w="0" w:type="dxa"/>
              <w:left w:w="0" w:type="dxa"/>
              <w:bottom w:w="62" w:type="dxa"/>
              <w:right w:w="0" w:type="dxa"/>
            </w:tcMar>
            <w:hideMark/>
          </w:tcPr>
          <w:p w:rsidRPr="00C949B7" w:rsidR="00C949B7" w:rsidP="00C949B7" w:rsidRDefault="00C949B7" w14:paraId="10AE5573" w14:textId="77777777">
            <w:pPr>
              <w:spacing w:after="0" w:line="240" w:lineRule="auto"/>
              <w:rPr>
                <w:rFonts w:ascii="Times New Roman" w:hAnsi="Times New Roman" w:eastAsia="Times New Roman" w:cs="Times New Roman"/>
                <w:color w:val="000000"/>
                <w:sz w:val="21"/>
                <w:szCs w:val="21"/>
                <w:lang w:eastAsia="en-GB"/>
              </w:rPr>
            </w:pPr>
            <w:r w:rsidRPr="00C949B7">
              <w:rPr>
                <w:rFonts w:ascii="Times New Roman" w:hAnsi="Times New Roman" w:eastAsia="Times New Roman" w:cs="Times New Roman"/>
                <w:color w:val="000000"/>
                <w:sz w:val="21"/>
                <w:szCs w:val="21"/>
                <w:lang w:eastAsia="en-GB"/>
              </w:rPr>
              <w:t>Appliances for heating liquids</w:t>
            </w:r>
          </w:p>
        </w:tc>
        <w:tc>
          <w:tcPr>
            <w:tcW w:w="0" w:type="auto"/>
            <w:tcBorders>
              <w:top w:val="nil"/>
              <w:left w:val="nil"/>
              <w:bottom w:val="nil"/>
              <w:right w:val="nil"/>
            </w:tcBorders>
            <w:shd w:val="clear" w:color="auto" w:fill="FFFFFF"/>
            <w:tcMar>
              <w:top w:w="0" w:type="dxa"/>
              <w:left w:w="0" w:type="dxa"/>
              <w:bottom w:w="62" w:type="dxa"/>
              <w:right w:w="0" w:type="dxa"/>
            </w:tcMar>
            <w:hideMark/>
          </w:tcPr>
          <w:p w:rsidRPr="00C949B7" w:rsidR="00C949B7" w:rsidP="00C949B7" w:rsidRDefault="00C949B7" w14:paraId="0B10C697" w14:textId="77777777">
            <w:pPr>
              <w:spacing w:after="0" w:line="240" w:lineRule="auto"/>
              <w:rPr>
                <w:rFonts w:ascii="Times New Roman" w:hAnsi="Times New Roman" w:eastAsia="Times New Roman" w:cs="Times New Roman"/>
                <w:color w:val="000000"/>
                <w:sz w:val="21"/>
                <w:szCs w:val="21"/>
                <w:lang w:eastAsia="en-GB"/>
              </w:rPr>
            </w:pPr>
          </w:p>
        </w:tc>
        <w:tc>
          <w:tcPr>
            <w:tcW w:w="0" w:type="auto"/>
            <w:tcBorders>
              <w:top w:val="nil"/>
              <w:left w:val="nil"/>
              <w:bottom w:val="nil"/>
              <w:right w:val="nil"/>
            </w:tcBorders>
            <w:shd w:val="clear" w:color="auto" w:fill="FFFFFF"/>
            <w:tcMar>
              <w:top w:w="0" w:type="dxa"/>
              <w:left w:w="0" w:type="dxa"/>
              <w:bottom w:w="62" w:type="dxa"/>
              <w:right w:w="0" w:type="dxa"/>
            </w:tcMar>
            <w:hideMark/>
          </w:tcPr>
          <w:p w:rsidRPr="00C949B7" w:rsidR="006F7D31" w:rsidP="00C949B7" w:rsidRDefault="00C949B7" w14:paraId="1D9F4FF8" w14:textId="67AE97DB">
            <w:pPr>
              <w:spacing w:after="0" w:line="240" w:lineRule="auto"/>
              <w:rPr>
                <w:rFonts w:ascii="Times New Roman" w:hAnsi="Times New Roman" w:eastAsia="Times New Roman" w:cs="Times New Roman"/>
                <w:color w:val="000000"/>
                <w:sz w:val="21"/>
                <w:szCs w:val="21"/>
                <w:lang w:eastAsia="en-GB"/>
              </w:rPr>
            </w:pPr>
            <w:r w:rsidRPr="00C949B7">
              <w:rPr>
                <w:rFonts w:ascii="Times New Roman" w:hAnsi="Times New Roman" w:eastAsia="Times New Roman" w:cs="Times New Roman"/>
                <w:color w:val="000000"/>
                <w:sz w:val="21"/>
                <w:szCs w:val="21"/>
                <w:lang w:eastAsia="en-GB"/>
              </w:rPr>
              <w:t>Standard A, or standard B, in conjunction with IEC 60335-2-15 Ed 5.2 as modified by Annex ZZ of AS/NZS 60335.2.15:2002, including Amendments 1 to 4</w:t>
            </w:r>
          </w:p>
        </w:tc>
      </w:tr>
      <w:tr w:rsidRPr="006F7D31" w:rsidR="006F7D31" w:rsidTr="006F7D31" w14:paraId="7324E432" w14:textId="77777777">
        <w:tc>
          <w:tcPr>
            <w:tcW w:w="0" w:type="auto"/>
            <w:tcBorders>
              <w:top w:val="nil"/>
              <w:left w:val="nil"/>
              <w:bottom w:val="nil"/>
              <w:right w:val="nil"/>
            </w:tcBorders>
            <w:shd w:val="clear" w:color="auto" w:fill="FFFFFF"/>
            <w:tcMar>
              <w:top w:w="0" w:type="dxa"/>
              <w:left w:w="0" w:type="dxa"/>
              <w:bottom w:w="62" w:type="dxa"/>
              <w:right w:w="0" w:type="dxa"/>
            </w:tcMar>
            <w:hideMark/>
          </w:tcPr>
          <w:p w:rsidRPr="006F7D31" w:rsidR="006F7D31" w:rsidP="006F7D31" w:rsidRDefault="006F7D31" w14:paraId="08B51217" w14:textId="77777777">
            <w:pPr>
              <w:spacing w:after="0" w:line="240" w:lineRule="auto"/>
              <w:rPr>
                <w:rFonts w:ascii="Times New Roman" w:hAnsi="Times New Roman" w:eastAsia="Times New Roman" w:cs="Times New Roman"/>
                <w:color w:val="000000"/>
                <w:sz w:val="21"/>
                <w:szCs w:val="21"/>
                <w:lang w:eastAsia="en-GB"/>
              </w:rPr>
            </w:pPr>
            <w:r w:rsidRPr="006F7D31">
              <w:rPr>
                <w:rFonts w:ascii="Times New Roman" w:hAnsi="Times New Roman" w:eastAsia="Times New Roman" w:cs="Times New Roman"/>
                <w:color w:val="000000"/>
                <w:sz w:val="21"/>
                <w:szCs w:val="21"/>
                <w:lang w:eastAsia="en-GB"/>
              </w:rPr>
              <w:t>Stationary circulation pumps for heating and service water installations</w:t>
            </w:r>
          </w:p>
        </w:tc>
        <w:tc>
          <w:tcPr>
            <w:tcW w:w="0" w:type="auto"/>
            <w:tcBorders>
              <w:top w:val="nil"/>
              <w:left w:val="nil"/>
              <w:bottom w:val="nil"/>
              <w:right w:val="nil"/>
            </w:tcBorders>
            <w:shd w:val="clear" w:color="auto" w:fill="FFFFFF"/>
            <w:tcMar>
              <w:top w:w="0" w:type="dxa"/>
              <w:left w:w="0" w:type="dxa"/>
              <w:bottom w:w="62" w:type="dxa"/>
              <w:right w:w="0" w:type="dxa"/>
            </w:tcMar>
            <w:hideMark/>
          </w:tcPr>
          <w:p w:rsidRPr="006F7D31" w:rsidR="006F7D31" w:rsidP="006F7D31" w:rsidRDefault="006F7D31" w14:paraId="2583C197" w14:textId="77777777">
            <w:pPr>
              <w:spacing w:after="0" w:line="240" w:lineRule="auto"/>
              <w:rPr>
                <w:rFonts w:ascii="Times New Roman" w:hAnsi="Times New Roman" w:eastAsia="Times New Roman" w:cs="Times New Roman"/>
                <w:color w:val="000000"/>
                <w:sz w:val="21"/>
                <w:szCs w:val="21"/>
                <w:lang w:eastAsia="en-GB"/>
              </w:rPr>
            </w:pPr>
          </w:p>
        </w:tc>
        <w:tc>
          <w:tcPr>
            <w:tcW w:w="0" w:type="auto"/>
            <w:tcBorders>
              <w:top w:val="nil"/>
              <w:left w:val="nil"/>
              <w:bottom w:val="nil"/>
              <w:right w:val="nil"/>
            </w:tcBorders>
            <w:shd w:val="clear" w:color="auto" w:fill="FFFFFF"/>
            <w:tcMar>
              <w:top w:w="0" w:type="dxa"/>
              <w:left w:w="0" w:type="dxa"/>
              <w:bottom w:w="62" w:type="dxa"/>
              <w:right w:w="0" w:type="dxa"/>
            </w:tcMar>
            <w:hideMark/>
          </w:tcPr>
          <w:p w:rsidRPr="006F7D31" w:rsidR="006F7D31" w:rsidP="006F7D31" w:rsidRDefault="006F7D31" w14:paraId="4AA69166" w14:textId="77777777">
            <w:pPr>
              <w:spacing w:after="0" w:line="240" w:lineRule="auto"/>
              <w:rPr>
                <w:rFonts w:ascii="Times New Roman" w:hAnsi="Times New Roman" w:eastAsia="Times New Roman" w:cs="Times New Roman"/>
                <w:color w:val="000000"/>
                <w:sz w:val="21"/>
                <w:szCs w:val="21"/>
                <w:lang w:eastAsia="en-GB"/>
              </w:rPr>
            </w:pPr>
            <w:r w:rsidRPr="006F7D31">
              <w:rPr>
                <w:rFonts w:ascii="Times New Roman" w:hAnsi="Times New Roman" w:eastAsia="Times New Roman" w:cs="Times New Roman"/>
                <w:color w:val="000000"/>
                <w:sz w:val="21"/>
                <w:szCs w:val="21"/>
                <w:lang w:eastAsia="en-GB"/>
              </w:rPr>
              <w:t>Standard B, in conjunction with IEC 60335-2-51 Ed 3.2</w:t>
            </w:r>
          </w:p>
        </w:tc>
      </w:tr>
      <w:tr w:rsidRPr="006F7D31" w:rsidR="006F7D31" w:rsidTr="006F7D31" w14:paraId="7273FB24" w14:textId="77777777">
        <w:tc>
          <w:tcPr>
            <w:tcW w:w="0" w:type="auto"/>
            <w:tcBorders>
              <w:top w:val="nil"/>
              <w:left w:val="nil"/>
              <w:bottom w:val="nil"/>
              <w:right w:val="nil"/>
            </w:tcBorders>
            <w:shd w:val="clear" w:color="auto" w:fill="FFFFFF"/>
            <w:tcMar>
              <w:top w:w="0" w:type="dxa"/>
              <w:left w:w="0" w:type="dxa"/>
              <w:bottom w:w="62" w:type="dxa"/>
              <w:right w:w="0" w:type="dxa"/>
            </w:tcMar>
            <w:hideMark/>
          </w:tcPr>
          <w:p w:rsidRPr="006F7D31" w:rsidR="006F7D31" w:rsidP="006F7D31" w:rsidRDefault="006F7D31" w14:paraId="7BBB3245" w14:textId="77777777">
            <w:pPr>
              <w:spacing w:after="0" w:line="240" w:lineRule="auto"/>
              <w:rPr>
                <w:rFonts w:ascii="Times New Roman" w:hAnsi="Times New Roman" w:eastAsia="Times New Roman" w:cs="Times New Roman"/>
                <w:color w:val="000000"/>
                <w:sz w:val="21"/>
                <w:szCs w:val="21"/>
                <w:lang w:eastAsia="en-GB"/>
              </w:rPr>
            </w:pPr>
            <w:r w:rsidRPr="006F7D31">
              <w:rPr>
                <w:rFonts w:ascii="Times New Roman" w:hAnsi="Times New Roman" w:eastAsia="Times New Roman" w:cs="Times New Roman"/>
                <w:color w:val="000000"/>
                <w:sz w:val="21"/>
                <w:szCs w:val="21"/>
                <w:lang w:eastAsia="en-GB"/>
              </w:rPr>
              <w:t>Fixed immersion heaters</w:t>
            </w:r>
          </w:p>
        </w:tc>
        <w:tc>
          <w:tcPr>
            <w:tcW w:w="0" w:type="auto"/>
            <w:tcBorders>
              <w:top w:val="nil"/>
              <w:left w:val="nil"/>
              <w:bottom w:val="nil"/>
              <w:right w:val="nil"/>
            </w:tcBorders>
            <w:shd w:val="clear" w:color="auto" w:fill="FFFFFF"/>
            <w:tcMar>
              <w:top w:w="0" w:type="dxa"/>
              <w:left w:w="0" w:type="dxa"/>
              <w:bottom w:w="62" w:type="dxa"/>
              <w:right w:w="0" w:type="dxa"/>
            </w:tcMar>
            <w:hideMark/>
          </w:tcPr>
          <w:p w:rsidRPr="006F7D31" w:rsidR="006F7D31" w:rsidP="006F7D31" w:rsidRDefault="006F7D31" w14:paraId="57848AB5" w14:textId="77777777">
            <w:pPr>
              <w:spacing w:after="0" w:line="240" w:lineRule="auto"/>
              <w:rPr>
                <w:rFonts w:ascii="Times New Roman" w:hAnsi="Times New Roman" w:eastAsia="Times New Roman" w:cs="Times New Roman"/>
                <w:color w:val="000000"/>
                <w:sz w:val="21"/>
                <w:szCs w:val="21"/>
                <w:lang w:eastAsia="en-GB"/>
              </w:rPr>
            </w:pPr>
          </w:p>
        </w:tc>
        <w:tc>
          <w:tcPr>
            <w:tcW w:w="0" w:type="auto"/>
            <w:tcBorders>
              <w:top w:val="nil"/>
              <w:left w:val="nil"/>
              <w:bottom w:val="nil"/>
              <w:right w:val="nil"/>
            </w:tcBorders>
            <w:shd w:val="clear" w:color="auto" w:fill="FFFFFF"/>
            <w:tcMar>
              <w:top w:w="0" w:type="dxa"/>
              <w:left w:w="0" w:type="dxa"/>
              <w:bottom w:w="62" w:type="dxa"/>
              <w:right w:w="0" w:type="dxa"/>
            </w:tcMar>
            <w:hideMark/>
          </w:tcPr>
          <w:p w:rsidRPr="006F7D31" w:rsidR="006F7D31" w:rsidP="006F7D31" w:rsidRDefault="006F7D31" w14:paraId="12CA3585" w14:textId="77777777">
            <w:pPr>
              <w:spacing w:after="0" w:line="240" w:lineRule="auto"/>
              <w:rPr>
                <w:rFonts w:ascii="Times New Roman" w:hAnsi="Times New Roman" w:eastAsia="Times New Roman" w:cs="Times New Roman"/>
                <w:color w:val="000000"/>
                <w:sz w:val="21"/>
                <w:szCs w:val="21"/>
                <w:lang w:eastAsia="en-GB"/>
              </w:rPr>
            </w:pPr>
            <w:r w:rsidRPr="006F7D31">
              <w:rPr>
                <w:rFonts w:ascii="Times New Roman" w:hAnsi="Times New Roman" w:eastAsia="Times New Roman" w:cs="Times New Roman"/>
                <w:color w:val="000000"/>
                <w:sz w:val="21"/>
                <w:szCs w:val="21"/>
                <w:lang w:eastAsia="en-GB"/>
              </w:rPr>
              <w:t>Standard A, or standard B, in conjunction with IEC 60335-2-73 Ed 2.2</w:t>
            </w:r>
          </w:p>
        </w:tc>
      </w:tr>
    </w:tbl>
    <w:p w:rsidR="006F7D31" w:rsidP="006F7D31" w:rsidRDefault="006F7D31" w14:paraId="3BD52400" w14:textId="77777777">
      <w:pPr>
        <w:pStyle w:val="text"/>
        <w:shd w:val="clear" w:color="auto" w:fill="FFFFFF"/>
        <w:spacing w:before="0" w:beforeAutospacing="0" w:after="0" w:afterAutospacing="0" w:line="288" w:lineRule="atLeast"/>
        <w:textAlignment w:val="baseline"/>
        <w:rPr>
          <w:rStyle w:val="HTMLDefinition"/>
          <w:b/>
          <w:bCs/>
          <w:i w:val="0"/>
          <w:iCs w:val="0"/>
          <w:color w:val="000000"/>
          <w:sz w:val="25"/>
          <w:szCs w:val="25"/>
          <w:bdr w:val="none" w:color="auto" w:sz="0" w:space="0" w:frame="1"/>
        </w:rPr>
      </w:pPr>
    </w:p>
    <w:p w:rsidR="006F7D31" w:rsidP="006F7D31" w:rsidRDefault="006F7D31" w14:paraId="7A013198" w14:textId="30049BAE">
      <w:pPr>
        <w:pStyle w:val="text"/>
        <w:shd w:val="clear" w:color="auto" w:fill="FFFFFF"/>
        <w:spacing w:before="0" w:beforeAutospacing="0" w:after="0" w:afterAutospacing="0" w:line="288" w:lineRule="atLeast"/>
        <w:textAlignment w:val="baseline"/>
        <w:rPr>
          <w:color w:val="000000"/>
          <w:sz w:val="25"/>
          <w:szCs w:val="25"/>
        </w:rPr>
      </w:pPr>
      <w:r>
        <w:rPr>
          <w:rStyle w:val="HTMLDefinition"/>
          <w:b/>
          <w:bCs/>
          <w:i w:val="0"/>
          <w:iCs w:val="0"/>
          <w:color w:val="000000"/>
          <w:sz w:val="25"/>
          <w:szCs w:val="25"/>
          <w:bdr w:val="none" w:color="auto" w:sz="0" w:space="0" w:frame="1"/>
        </w:rPr>
        <w:t>standard A</w:t>
      </w:r>
      <w:r>
        <w:rPr>
          <w:color w:val="000000"/>
          <w:sz w:val="25"/>
          <w:szCs w:val="25"/>
        </w:rPr>
        <w:t> means IEC 60335-1 Ed 4.2 as modified by Annex ZZ of AS/NZS 60335.1:2002, including Amendments 1 to 4</w:t>
      </w:r>
    </w:p>
    <w:p w:rsidR="006F7D31" w:rsidP="006F7D31" w:rsidRDefault="006F7D31" w14:paraId="1AD88DD4" w14:textId="77777777">
      <w:pPr>
        <w:pStyle w:val="text"/>
        <w:shd w:val="clear" w:color="auto" w:fill="FFFFFF"/>
        <w:spacing w:before="0" w:beforeAutospacing="0" w:after="0" w:afterAutospacing="0" w:line="288" w:lineRule="atLeast"/>
        <w:textAlignment w:val="baseline"/>
        <w:rPr>
          <w:color w:val="000000"/>
          <w:sz w:val="25"/>
          <w:szCs w:val="25"/>
        </w:rPr>
      </w:pPr>
      <w:r>
        <w:rPr>
          <w:rStyle w:val="HTMLDefinition"/>
          <w:b/>
          <w:bCs/>
          <w:i w:val="0"/>
          <w:iCs w:val="0"/>
          <w:color w:val="000000"/>
          <w:sz w:val="25"/>
          <w:szCs w:val="25"/>
          <w:bdr w:val="none" w:color="auto" w:sz="0" w:space="0" w:frame="1"/>
        </w:rPr>
        <w:t>standard B</w:t>
      </w:r>
      <w:r>
        <w:rPr>
          <w:color w:val="000000"/>
          <w:sz w:val="25"/>
          <w:szCs w:val="25"/>
        </w:rPr>
        <w:t> means IEC 60335-1 Ed 5.0 as modified by AS/NZS 60335.1:2011</w:t>
      </w:r>
    </w:p>
    <w:p w:rsidR="00C949B7" w:rsidP="00C949B7" w:rsidRDefault="00C949B7" w14:paraId="07DE70B8" w14:textId="2AB2B994"/>
    <w:p w:rsidRPr="004930E1" w:rsidR="004930E1" w:rsidP="004930E1" w:rsidRDefault="004930E1" w14:paraId="005FF3AD" w14:textId="77777777">
      <w:pPr>
        <w:shd w:val="clear" w:color="auto" w:fill="FFFFFF"/>
        <w:spacing w:before="83" w:after="0" w:line="288" w:lineRule="atLeast"/>
        <w:textAlignment w:val="baseline"/>
        <w:rPr>
          <w:rFonts w:ascii="Times New Roman" w:hAnsi="Times New Roman" w:eastAsia="Times New Roman" w:cs="Times New Roman"/>
          <w:color w:val="000000"/>
          <w:sz w:val="25"/>
          <w:szCs w:val="25"/>
          <w:lang w:eastAsia="en-GB"/>
        </w:rPr>
      </w:pPr>
      <w:r w:rsidRPr="004930E1">
        <w:rPr>
          <w:rFonts w:ascii="Times New Roman" w:hAnsi="Times New Roman" w:eastAsia="Times New Roman" w:cs="Times New Roman"/>
          <w:color w:val="000000"/>
          <w:sz w:val="25"/>
          <w:szCs w:val="25"/>
          <w:lang w:eastAsia="en-GB"/>
        </w:rPr>
        <w:t>the order of connection, in a clockwise direction when the socket-outlet is viewed from the front, is—</w:t>
      </w:r>
    </w:p>
    <w:p w:rsidRPr="004930E1" w:rsidR="004930E1" w:rsidP="004930E1" w:rsidRDefault="004930E1" w14:paraId="7C13E9A5" w14:textId="77777777">
      <w:pPr>
        <w:shd w:val="clear" w:color="auto" w:fill="FFFFFF"/>
        <w:spacing w:after="0" w:line="288" w:lineRule="atLeast"/>
        <w:jc w:val="both"/>
        <w:textAlignment w:val="baseline"/>
        <w:outlineLvl w:val="4"/>
        <w:rPr>
          <w:rFonts w:ascii="Times New Roman" w:hAnsi="Times New Roman" w:eastAsia="Times New Roman" w:cs="Times New Roman"/>
          <w:color w:val="000000"/>
          <w:sz w:val="20"/>
          <w:szCs w:val="20"/>
          <w:lang w:eastAsia="en-GB"/>
        </w:rPr>
      </w:pPr>
      <w:r w:rsidRPr="004930E1">
        <w:rPr>
          <w:rFonts w:ascii="Times New Roman" w:hAnsi="Times New Roman" w:eastAsia="Times New Roman" w:cs="Times New Roman"/>
          <w:color w:val="000000"/>
          <w:sz w:val="20"/>
          <w:szCs w:val="20"/>
          <w:bdr w:val="none" w:color="auto" w:sz="0" w:space="0" w:frame="1"/>
          <w:lang w:eastAsia="en-GB"/>
        </w:rPr>
        <w:t>(</w:t>
      </w:r>
      <w:proofErr w:type="spellStart"/>
      <w:r w:rsidRPr="004930E1">
        <w:rPr>
          <w:rFonts w:ascii="Times New Roman" w:hAnsi="Times New Roman" w:eastAsia="Times New Roman" w:cs="Times New Roman"/>
          <w:color w:val="000000"/>
          <w:sz w:val="20"/>
          <w:szCs w:val="20"/>
          <w:bdr w:val="none" w:color="auto" w:sz="0" w:space="0" w:frame="1"/>
          <w:lang w:eastAsia="en-GB"/>
        </w:rPr>
        <w:t>i</w:t>
      </w:r>
      <w:proofErr w:type="spellEnd"/>
      <w:r w:rsidRPr="004930E1">
        <w:rPr>
          <w:rFonts w:ascii="Times New Roman" w:hAnsi="Times New Roman" w:eastAsia="Times New Roman" w:cs="Times New Roman"/>
          <w:color w:val="000000"/>
          <w:sz w:val="20"/>
          <w:szCs w:val="20"/>
          <w:bdr w:val="none" w:color="auto" w:sz="0" w:space="0" w:frame="1"/>
          <w:lang w:eastAsia="en-GB"/>
        </w:rPr>
        <w:t>)</w:t>
      </w:r>
    </w:p>
    <w:p w:rsidRPr="004930E1" w:rsidR="004930E1" w:rsidP="004930E1" w:rsidRDefault="004930E1" w14:paraId="22F748D2" w14:textId="77777777">
      <w:pPr>
        <w:shd w:val="clear" w:color="auto" w:fill="FFFFFF"/>
        <w:spacing w:after="0" w:line="288" w:lineRule="atLeast"/>
        <w:textAlignment w:val="baseline"/>
        <w:rPr>
          <w:rFonts w:ascii="Times New Roman" w:hAnsi="Times New Roman" w:eastAsia="Times New Roman" w:cs="Times New Roman"/>
          <w:color w:val="000000"/>
          <w:sz w:val="25"/>
          <w:szCs w:val="25"/>
          <w:lang w:eastAsia="en-GB"/>
        </w:rPr>
      </w:pPr>
      <w:r w:rsidRPr="004930E1">
        <w:rPr>
          <w:rFonts w:ascii="Times New Roman" w:hAnsi="Times New Roman" w:eastAsia="Times New Roman" w:cs="Times New Roman"/>
          <w:color w:val="000000"/>
          <w:sz w:val="25"/>
          <w:szCs w:val="25"/>
          <w:lang w:eastAsia="en-GB"/>
        </w:rPr>
        <w:t>earth-continuity conductor:</w:t>
      </w:r>
    </w:p>
    <w:p w:rsidRPr="004930E1" w:rsidR="004930E1" w:rsidP="004930E1" w:rsidRDefault="004930E1" w14:paraId="03B1551E" w14:textId="77777777">
      <w:pPr>
        <w:shd w:val="clear" w:color="auto" w:fill="FFFFFF"/>
        <w:spacing w:after="0" w:line="288" w:lineRule="atLeast"/>
        <w:jc w:val="both"/>
        <w:textAlignment w:val="baseline"/>
        <w:outlineLvl w:val="4"/>
        <w:rPr>
          <w:rFonts w:ascii="Times New Roman" w:hAnsi="Times New Roman" w:eastAsia="Times New Roman" w:cs="Times New Roman"/>
          <w:color w:val="000000"/>
          <w:sz w:val="20"/>
          <w:szCs w:val="20"/>
          <w:lang w:eastAsia="en-GB"/>
        </w:rPr>
      </w:pPr>
      <w:r w:rsidRPr="004930E1">
        <w:rPr>
          <w:rFonts w:ascii="Times New Roman" w:hAnsi="Times New Roman" w:eastAsia="Times New Roman" w:cs="Times New Roman"/>
          <w:color w:val="000000"/>
          <w:sz w:val="20"/>
          <w:szCs w:val="20"/>
          <w:bdr w:val="none" w:color="auto" w:sz="0" w:space="0" w:frame="1"/>
          <w:lang w:eastAsia="en-GB"/>
        </w:rPr>
        <w:t>(ii)</w:t>
      </w:r>
    </w:p>
    <w:p w:rsidRPr="004930E1" w:rsidR="004930E1" w:rsidP="004930E1" w:rsidRDefault="004930E1" w14:paraId="451B158C" w14:textId="77777777">
      <w:pPr>
        <w:shd w:val="clear" w:color="auto" w:fill="FFFFFF"/>
        <w:spacing w:after="0" w:line="288" w:lineRule="atLeast"/>
        <w:textAlignment w:val="baseline"/>
        <w:rPr>
          <w:rFonts w:ascii="Times New Roman" w:hAnsi="Times New Roman" w:eastAsia="Times New Roman" w:cs="Times New Roman"/>
          <w:color w:val="000000"/>
          <w:sz w:val="25"/>
          <w:szCs w:val="25"/>
          <w:lang w:eastAsia="en-GB"/>
        </w:rPr>
      </w:pPr>
      <w:r w:rsidRPr="004930E1">
        <w:rPr>
          <w:rFonts w:ascii="Times New Roman" w:hAnsi="Times New Roman" w:eastAsia="Times New Roman" w:cs="Times New Roman"/>
          <w:color w:val="000000"/>
          <w:sz w:val="25"/>
          <w:szCs w:val="25"/>
          <w:lang w:eastAsia="en-GB"/>
        </w:rPr>
        <w:t>active conductor:</w:t>
      </w:r>
    </w:p>
    <w:p w:rsidRPr="004930E1" w:rsidR="004930E1" w:rsidP="004930E1" w:rsidRDefault="004930E1" w14:paraId="3B1677CC" w14:textId="77777777">
      <w:pPr>
        <w:shd w:val="clear" w:color="auto" w:fill="FFFFFF"/>
        <w:spacing w:after="0" w:line="288" w:lineRule="atLeast"/>
        <w:jc w:val="both"/>
        <w:textAlignment w:val="baseline"/>
        <w:outlineLvl w:val="4"/>
        <w:rPr>
          <w:rFonts w:ascii="Times New Roman" w:hAnsi="Times New Roman" w:eastAsia="Times New Roman" w:cs="Times New Roman"/>
          <w:color w:val="000000"/>
          <w:sz w:val="20"/>
          <w:szCs w:val="20"/>
          <w:lang w:eastAsia="en-GB"/>
        </w:rPr>
      </w:pPr>
      <w:r w:rsidRPr="004930E1">
        <w:rPr>
          <w:rFonts w:ascii="Times New Roman" w:hAnsi="Times New Roman" w:eastAsia="Times New Roman" w:cs="Times New Roman"/>
          <w:color w:val="000000"/>
          <w:sz w:val="20"/>
          <w:szCs w:val="20"/>
          <w:bdr w:val="none" w:color="auto" w:sz="0" w:space="0" w:frame="1"/>
          <w:lang w:eastAsia="en-GB"/>
        </w:rPr>
        <w:t>(iii)</w:t>
      </w:r>
    </w:p>
    <w:p w:rsidRPr="004930E1" w:rsidR="004930E1" w:rsidP="004930E1" w:rsidRDefault="004930E1" w14:paraId="67FEA213" w14:textId="77777777">
      <w:pPr>
        <w:shd w:val="clear" w:color="auto" w:fill="FFFFFF"/>
        <w:spacing w:after="0" w:line="288" w:lineRule="atLeast"/>
        <w:textAlignment w:val="baseline"/>
        <w:rPr>
          <w:rFonts w:ascii="Times New Roman" w:hAnsi="Times New Roman" w:eastAsia="Times New Roman" w:cs="Times New Roman"/>
          <w:color w:val="000000"/>
          <w:sz w:val="25"/>
          <w:szCs w:val="25"/>
          <w:lang w:eastAsia="en-GB"/>
        </w:rPr>
      </w:pPr>
      <w:r w:rsidRPr="004930E1">
        <w:rPr>
          <w:rFonts w:ascii="Times New Roman" w:hAnsi="Times New Roman" w:eastAsia="Times New Roman" w:cs="Times New Roman"/>
          <w:color w:val="000000"/>
          <w:sz w:val="25"/>
          <w:szCs w:val="25"/>
          <w:lang w:eastAsia="en-GB"/>
        </w:rPr>
        <w:t>neutral (or other) conductor.</w:t>
      </w:r>
    </w:p>
    <w:p w:rsidR="004930E1" w:rsidP="00C949B7" w:rsidRDefault="004930E1" w14:paraId="25861B7D" w14:textId="4128F1A8"/>
    <w:p w:rsidR="00281425" w:rsidP="00C949B7" w:rsidRDefault="00281425" w14:paraId="5EE41733" w14:textId="77777777">
      <w:r w:rsidRPr="00281425">
        <w:rPr>
          <w:highlight w:val="yellow"/>
        </w:rPr>
        <w:t>2.1.9 Class II equipment</w:t>
      </w:r>
    </w:p>
    <w:p w:rsidR="00281425" w:rsidP="00C949B7" w:rsidRDefault="00281425" w14:paraId="5B8D64B6" w14:textId="77777777">
      <w:r w:rsidRPr="00281425">
        <w:t xml:space="preserve">equipment in which protection against electric shock does not rely on basic insulation only, but in which additional safety precautions such as double insulation or reinforced insulation are provided, there being no provision for protective earthing or reliance upon installation conditions. Such equipment may be one of the following types: </w:t>
      </w:r>
    </w:p>
    <w:p w:rsidR="00284ABD" w:rsidP="00A047F4" w:rsidRDefault="00281425" w14:paraId="5ACB9405" w14:textId="3ADBA084">
      <w:pPr>
        <w:pStyle w:val="ListParagraph"/>
        <w:numPr>
          <w:ilvl w:val="0"/>
          <w:numId w:val="1"/>
        </w:numPr>
      </w:pPr>
      <w:r w:rsidRPr="00281425">
        <w:t xml:space="preserve">Equipment having durable and substantially continuous enclosures of insulating material which envelops all metal parts, </w:t>
      </w:r>
      <w:proofErr w:type="gramStart"/>
      <w:r w:rsidRPr="00281425">
        <w:t>with the exception of</w:t>
      </w:r>
      <w:proofErr w:type="gramEnd"/>
      <w:r w:rsidRPr="00281425">
        <w:t xml:space="preserve"> small parts, such as nameplates, screws and rivets, which are isolated from live parts by insulation at least equivalent to reinforced insulation; such equipment is called insulation-encased Class II equipment.</w:t>
      </w:r>
    </w:p>
    <w:p w:rsidRPr="00C5423B" w:rsidR="00C5423B" w:rsidP="00A047F4" w:rsidRDefault="00A047F4" w14:paraId="117C0088" w14:textId="77777777">
      <w:pPr>
        <w:rPr>
          <w:b/>
          <w:bCs/>
        </w:rPr>
      </w:pPr>
      <w:r w:rsidRPr="00C5423B">
        <w:rPr>
          <w:b/>
          <w:bCs/>
        </w:rPr>
        <w:t xml:space="preserve">3.9 Socket-outlets </w:t>
      </w:r>
    </w:p>
    <w:p w:rsidR="00C5423B" w:rsidP="00A047F4" w:rsidRDefault="00A047F4" w14:paraId="29162AC7" w14:textId="77777777">
      <w:r>
        <w:t xml:space="preserve">Socket-outlets shall not be permitted in equipment intended for connection by flexible cord except in the following circumstances: </w:t>
      </w:r>
    </w:p>
    <w:p w:rsidR="00C5423B" w:rsidP="00A047F4" w:rsidRDefault="00A047F4" w14:paraId="4424844B" w14:textId="77777777">
      <w:r>
        <w:t xml:space="preserve">(a) In those cases where there is little likelihood of cascading of similar equipment which could result in circuit overloading and extension of fault conditions. </w:t>
      </w:r>
    </w:p>
    <w:p w:rsidR="00C5423B" w:rsidP="00A047F4" w:rsidRDefault="00A047F4" w14:paraId="75AB1B92" w14:textId="77777777">
      <w:r>
        <w:t xml:space="preserve">(b) Where permitted by an individual Approval and test specification or by National Wiring Rules. </w:t>
      </w:r>
    </w:p>
    <w:p w:rsidR="00A047F4" w:rsidP="00A047F4" w:rsidRDefault="00A047F4" w14:paraId="28FE3247" w14:textId="404DA347">
      <w:r>
        <w:t>(c) Where the equipment is basically providing a switching or control function. This does not preclude the use of socket-outlets or other facilities for connections within the equipment.</w:t>
      </w:r>
    </w:p>
    <w:p w:rsidRPr="00C5423B" w:rsidR="00C5423B" w:rsidP="00A047F4" w:rsidRDefault="00C5423B" w14:paraId="21DA0A21" w14:textId="77777777">
      <w:pPr>
        <w:rPr>
          <w:b/>
          <w:bCs/>
        </w:rPr>
      </w:pPr>
      <w:r w:rsidRPr="00C5423B">
        <w:rPr>
          <w:b/>
          <w:bCs/>
        </w:rPr>
        <w:t>3.16 Varistors</w:t>
      </w:r>
    </w:p>
    <w:p w:rsidR="00C5423B" w:rsidP="00A047F4" w:rsidRDefault="00C5423B" w14:paraId="136B4877" w14:textId="77777777">
      <w:r>
        <w:t xml:space="preserve"> Varistors connected to live parts incorporated in equipment shall comply with the following requirements. NOTE Varistors connected to live parts are those connected between phases (between actives and between actives and neutral) and those connected between phases and earth (actives to earth) and neutral to earth. </w:t>
      </w:r>
    </w:p>
    <w:p w:rsidR="00C5423B" w:rsidP="00A047F4" w:rsidRDefault="00C5423B" w14:paraId="29AA77BA" w14:textId="77777777">
      <w:r>
        <w:t xml:space="preserve">(a) Varistors shall comply with IEC 61051-2. The characteristics as defined within IEC 61051-1 for any such varistor shall be at least: • Lower category temperature: -10°C; Duration 2 h (Test A IEC 60068-2-1); • Upper category temperature: +85°C; Duration 1 000 h (Test B IEC 60068-2-2); • Damp heat steady state severity: Duration 21 days; Temperature (40 ± 2) °C; Relative Humidity (85 ± </w:t>
      </w:r>
      <w:proofErr w:type="gramStart"/>
      <w:r>
        <w:t>3)%</w:t>
      </w:r>
      <w:proofErr w:type="gramEnd"/>
      <w:r>
        <w:t xml:space="preserve"> (Test Cab IEC 60068-2-78); • Over voltage category II. </w:t>
      </w:r>
    </w:p>
    <w:p w:rsidR="00C5423B" w:rsidP="00A047F4" w:rsidRDefault="00C5423B" w14:paraId="72FB128D" w14:textId="77777777">
      <w:r>
        <w:lastRenderedPageBreak/>
        <w:t xml:space="preserve">(b) Varistors shall have a continuous voltage rating of at least: </w:t>
      </w:r>
      <w:r>
        <w:br/>
      </w:r>
      <w:r>
        <w:t xml:space="preserve">• 1.25 times the rated voltage of the equipment, or </w:t>
      </w:r>
      <w:r>
        <w:br/>
      </w:r>
      <w:r>
        <w:t xml:space="preserve">• 1.25 times the upper limit of the rated voltage range of the equipment. </w:t>
      </w:r>
    </w:p>
    <w:p w:rsidR="00C5423B" w:rsidP="00A047F4" w:rsidRDefault="00C5423B" w14:paraId="17F1307D" w14:textId="77777777">
      <w:r>
        <w:t xml:space="preserve">(c) The body of the varistor shall have a flammability classification of at least V-1 in accordance with IEC 60695-11-10. </w:t>
      </w:r>
    </w:p>
    <w:p w:rsidR="00C5423B" w:rsidP="00A047F4" w:rsidRDefault="00C5423B" w14:paraId="7D7DC2B7" w14:textId="625C68D7">
      <w:r>
        <w:t xml:space="preserve">(d) Equipment shall be protected against sudden failure of a varistor. Protection shall be provided by a fuse having a current rating not exceeding 10 A and a breaking capacity of not less than 1500 A. The fuse being connected in series with the </w:t>
      </w:r>
      <w:proofErr w:type="gramStart"/>
      <w:r>
        <w:t>varistor;</w:t>
      </w:r>
      <w:proofErr w:type="gramEnd"/>
    </w:p>
    <w:p w:rsidR="00BA5042" w:rsidP="00A047F4" w:rsidRDefault="00BA5042" w14:paraId="0E2EDD65" w14:textId="36F024A3"/>
    <w:p w:rsidR="00BA5042" w:rsidP="13D2F433" w:rsidRDefault="00BA5042" w14:paraId="35BA5CDA" w14:textId="28738694">
      <w:pPr>
        <w:pStyle w:val="Normal"/>
      </w:pPr>
      <w:r w:rsidR="574BE6CE">
        <w:drawing>
          <wp:inline wp14:editId="13D2F433" wp14:anchorId="19FA98B8">
            <wp:extent cx="3295650" cy="4572000"/>
            <wp:effectExtent l="0" t="0" r="0" b="0"/>
            <wp:docPr id="311464533" name="" title=""/>
            <wp:cNvGraphicFramePr>
              <a:graphicFrameLocks noChangeAspect="1"/>
            </wp:cNvGraphicFramePr>
            <a:graphic>
              <a:graphicData uri="http://schemas.openxmlformats.org/drawingml/2006/picture">
                <pic:pic>
                  <pic:nvPicPr>
                    <pic:cNvPr id="0" name=""/>
                    <pic:cNvPicPr/>
                  </pic:nvPicPr>
                  <pic:blipFill>
                    <a:blip r:embed="R42e54bd41ca84dff">
                      <a:extLst>
                        <a:ext xmlns:a="http://schemas.openxmlformats.org/drawingml/2006/main" uri="{28A0092B-C50C-407E-A947-70E740481C1C}">
                          <a14:useLocalDpi val="0"/>
                        </a:ext>
                      </a:extLst>
                    </a:blip>
                    <a:stretch>
                      <a:fillRect/>
                    </a:stretch>
                  </pic:blipFill>
                  <pic:spPr>
                    <a:xfrm>
                      <a:off x="0" y="0"/>
                      <a:ext cx="3295650" cy="4572000"/>
                    </a:xfrm>
                    <a:prstGeom prst="rect">
                      <a:avLst/>
                    </a:prstGeom>
                  </pic:spPr>
                </pic:pic>
              </a:graphicData>
            </a:graphic>
          </wp:inline>
        </w:drawing>
      </w:r>
    </w:p>
    <w:p w:rsidR="574BE6CE" w:rsidP="13D2F433" w:rsidRDefault="574BE6CE" w14:paraId="240334D4" w14:textId="09D31977">
      <w:pPr>
        <w:pStyle w:val="Normal"/>
      </w:pPr>
      <w:r w:rsidR="574BE6CE">
        <w:rPr/>
        <w:t>5.1 Guarding of live parts  (ASNZS3100)</w:t>
      </w:r>
    </w:p>
    <w:p w:rsidR="165F94AA" w:rsidP="13D2F433" w:rsidRDefault="165F94AA" w14:paraId="6BD47822" w14:textId="54BAF897">
      <w:pPr>
        <w:pStyle w:val="Normal"/>
      </w:pPr>
      <w:r w:rsidR="165F94AA">
        <w:drawing>
          <wp:inline wp14:editId="104AFCDE" wp14:anchorId="317D26DF">
            <wp:extent cx="4572000" cy="581025"/>
            <wp:effectExtent l="0" t="0" r="0" b="0"/>
            <wp:docPr id="1526682286" name="" title=""/>
            <wp:cNvGraphicFramePr>
              <a:graphicFrameLocks noChangeAspect="1"/>
            </wp:cNvGraphicFramePr>
            <a:graphic>
              <a:graphicData uri="http://schemas.openxmlformats.org/drawingml/2006/picture">
                <pic:pic>
                  <pic:nvPicPr>
                    <pic:cNvPr id="0" name=""/>
                    <pic:cNvPicPr/>
                  </pic:nvPicPr>
                  <pic:blipFill>
                    <a:blip r:embed="Ra04f359a113b4438">
                      <a:extLst>
                        <a:ext xmlns:a="http://schemas.openxmlformats.org/drawingml/2006/main" uri="{28A0092B-C50C-407E-A947-70E740481C1C}">
                          <a14:useLocalDpi val="0"/>
                        </a:ext>
                      </a:extLst>
                    </a:blip>
                    <a:stretch>
                      <a:fillRect/>
                    </a:stretch>
                  </pic:blipFill>
                  <pic:spPr>
                    <a:xfrm>
                      <a:off x="0" y="0"/>
                      <a:ext cx="4572000" cy="581025"/>
                    </a:xfrm>
                    <a:prstGeom prst="rect">
                      <a:avLst/>
                    </a:prstGeom>
                  </pic:spPr>
                </pic:pic>
              </a:graphicData>
            </a:graphic>
          </wp:inline>
        </w:drawing>
      </w:r>
      <w:r>
        <w:br/>
      </w:r>
    </w:p>
    <w:p w:rsidR="13D2F433" w:rsidP="13D2F433" w:rsidRDefault="13D2F433" w14:paraId="50F47EB8" w14:textId="121470EF">
      <w:pPr>
        <w:pStyle w:val="Normal"/>
      </w:pPr>
    </w:p>
    <w:p w:rsidR="13D2F433" w:rsidP="13D2F433" w:rsidRDefault="13D2F433" w14:paraId="3BB3CC21" w14:textId="6793D28B">
      <w:pPr>
        <w:pStyle w:val="Normal"/>
      </w:pPr>
    </w:p>
    <w:p w:rsidR="13D2F433" w:rsidP="13D2F433" w:rsidRDefault="13D2F433" w14:paraId="507FA527" w14:textId="43848090">
      <w:pPr>
        <w:pStyle w:val="Normal"/>
      </w:pPr>
    </w:p>
    <w:p w:rsidR="10B3DB28" w:rsidP="13D2F433" w:rsidRDefault="10B3DB28" w14:paraId="1BC822FC" w14:textId="41F7A28B">
      <w:pPr>
        <w:pStyle w:val="Normal"/>
      </w:pPr>
      <w:r w:rsidR="10B3DB28">
        <w:drawing>
          <wp:inline wp14:editId="1AD2DCB8" wp14:anchorId="04954875">
            <wp:extent cx="4220766" cy="6753225"/>
            <wp:effectExtent l="0" t="0" r="0" b="0"/>
            <wp:docPr id="1181256432" name="" title=""/>
            <wp:cNvGraphicFramePr>
              <a:graphicFrameLocks noChangeAspect="1"/>
            </wp:cNvGraphicFramePr>
            <a:graphic>
              <a:graphicData uri="http://schemas.openxmlformats.org/drawingml/2006/picture">
                <pic:pic>
                  <pic:nvPicPr>
                    <pic:cNvPr id="0" name=""/>
                    <pic:cNvPicPr/>
                  </pic:nvPicPr>
                  <pic:blipFill>
                    <a:blip r:embed="R3b1db0dfebc149da">
                      <a:extLst>
                        <a:ext xmlns:a="http://schemas.openxmlformats.org/drawingml/2006/main" uri="{28A0092B-C50C-407E-A947-70E740481C1C}">
                          <a14:useLocalDpi val="0"/>
                        </a:ext>
                      </a:extLst>
                    </a:blip>
                    <a:stretch>
                      <a:fillRect/>
                    </a:stretch>
                  </pic:blipFill>
                  <pic:spPr>
                    <a:xfrm>
                      <a:off x="0" y="0"/>
                      <a:ext cx="4220766" cy="6753225"/>
                    </a:xfrm>
                    <a:prstGeom prst="rect">
                      <a:avLst/>
                    </a:prstGeom>
                  </pic:spPr>
                </pic:pic>
              </a:graphicData>
            </a:graphic>
          </wp:inline>
        </w:drawing>
      </w:r>
    </w:p>
    <w:p w:rsidR="28972EA1" w:rsidP="13D2F433" w:rsidRDefault="28972EA1" w14:paraId="2BEA0D14" w14:textId="777A9414">
      <w:pPr>
        <w:pStyle w:val="Normal"/>
      </w:pPr>
      <w:r w:rsidR="28972EA1">
        <w:drawing>
          <wp:inline wp14:editId="5C2FB107" wp14:anchorId="57097CAB">
            <wp:extent cx="4572000" cy="2238375"/>
            <wp:effectExtent l="0" t="0" r="0" b="0"/>
            <wp:docPr id="1442480728" name="" title=""/>
            <wp:cNvGraphicFramePr>
              <a:graphicFrameLocks noChangeAspect="1"/>
            </wp:cNvGraphicFramePr>
            <a:graphic>
              <a:graphicData uri="http://schemas.openxmlformats.org/drawingml/2006/picture">
                <pic:pic>
                  <pic:nvPicPr>
                    <pic:cNvPr id="0" name=""/>
                    <pic:cNvPicPr/>
                  </pic:nvPicPr>
                  <pic:blipFill>
                    <a:blip r:embed="Rf5f2df74a6eb488f">
                      <a:extLst>
                        <a:ext xmlns:a="http://schemas.openxmlformats.org/drawingml/2006/main" uri="{28A0092B-C50C-407E-A947-70E740481C1C}">
                          <a14:useLocalDpi val="0"/>
                        </a:ext>
                      </a:extLst>
                    </a:blip>
                    <a:stretch>
                      <a:fillRect/>
                    </a:stretch>
                  </pic:blipFill>
                  <pic:spPr>
                    <a:xfrm>
                      <a:off x="0" y="0"/>
                      <a:ext cx="4572000" cy="2238375"/>
                    </a:xfrm>
                    <a:prstGeom prst="rect">
                      <a:avLst/>
                    </a:prstGeom>
                  </pic:spPr>
                </pic:pic>
              </a:graphicData>
            </a:graphic>
          </wp:inline>
        </w:drawing>
      </w:r>
    </w:p>
    <w:sectPr w:rsidR="00BA504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20DAA"/>
    <w:multiLevelType w:val="hybridMultilevel"/>
    <w:tmpl w:val="0F9895F6"/>
    <w:lvl w:ilvl="0" w:tplc="BDBC44F0">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B7"/>
    <w:rsid w:val="00281425"/>
    <w:rsid w:val="00284ABD"/>
    <w:rsid w:val="00366E12"/>
    <w:rsid w:val="003F19CD"/>
    <w:rsid w:val="004930E1"/>
    <w:rsid w:val="006F7D31"/>
    <w:rsid w:val="00A047F4"/>
    <w:rsid w:val="00BA5042"/>
    <w:rsid w:val="00C5423B"/>
    <w:rsid w:val="00C949B7"/>
    <w:rsid w:val="00CB454E"/>
    <w:rsid w:val="00D40A4C"/>
    <w:rsid w:val="072698B1"/>
    <w:rsid w:val="10B3DB28"/>
    <w:rsid w:val="13D2F433"/>
    <w:rsid w:val="165F94AA"/>
    <w:rsid w:val="1ABC541C"/>
    <w:rsid w:val="1EA0EFE2"/>
    <w:rsid w:val="28972EA1"/>
    <w:rsid w:val="37338D22"/>
    <w:rsid w:val="574BE6CE"/>
    <w:rsid w:val="614886BD"/>
    <w:rsid w:val="6B33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C38E"/>
  <w15:chartTrackingRefBased/>
  <w15:docId w15:val="{5126B09A-241F-448A-A9B7-764651A126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949B7"/>
    <w:rPr>
      <w:color w:val="0563C1" w:themeColor="hyperlink"/>
      <w:u w:val="single"/>
    </w:rPr>
  </w:style>
  <w:style w:type="character" w:styleId="UnresolvedMention">
    <w:name w:val="Unresolved Mention"/>
    <w:basedOn w:val="DefaultParagraphFont"/>
    <w:uiPriority w:val="99"/>
    <w:semiHidden/>
    <w:unhideWhenUsed/>
    <w:rsid w:val="00C949B7"/>
    <w:rPr>
      <w:color w:val="605E5C"/>
      <w:shd w:val="clear" w:color="auto" w:fill="E1DFDD"/>
    </w:rPr>
  </w:style>
  <w:style w:type="paragraph" w:styleId="text" w:customStyle="1">
    <w:name w:val="text"/>
    <w:basedOn w:val="Normal"/>
    <w:rsid w:val="006F7D3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TMLDefinition">
    <w:name w:val="HTML Definition"/>
    <w:basedOn w:val="DefaultParagraphFont"/>
    <w:uiPriority w:val="99"/>
    <w:semiHidden/>
    <w:unhideWhenUsed/>
    <w:rsid w:val="006F7D31"/>
    <w:rPr>
      <w:i/>
      <w:iCs/>
    </w:rPr>
  </w:style>
  <w:style w:type="paragraph" w:styleId="ListParagraph">
    <w:name w:val="List Paragraph"/>
    <w:basedOn w:val="Normal"/>
    <w:uiPriority w:val="34"/>
    <w:qFormat/>
    <w:rsid w:val="00A04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16020">
      <w:bodyDiv w:val="1"/>
      <w:marLeft w:val="0"/>
      <w:marRight w:val="0"/>
      <w:marTop w:val="0"/>
      <w:marBottom w:val="0"/>
      <w:divBdr>
        <w:top w:val="none" w:sz="0" w:space="0" w:color="auto"/>
        <w:left w:val="none" w:sz="0" w:space="0" w:color="auto"/>
        <w:bottom w:val="none" w:sz="0" w:space="0" w:color="auto"/>
        <w:right w:val="none" w:sz="0" w:space="0" w:color="auto"/>
      </w:divBdr>
    </w:div>
    <w:div w:id="266934773">
      <w:bodyDiv w:val="1"/>
      <w:marLeft w:val="0"/>
      <w:marRight w:val="0"/>
      <w:marTop w:val="0"/>
      <w:marBottom w:val="0"/>
      <w:divBdr>
        <w:top w:val="none" w:sz="0" w:space="0" w:color="auto"/>
        <w:left w:val="none" w:sz="0" w:space="0" w:color="auto"/>
        <w:bottom w:val="none" w:sz="0" w:space="0" w:color="auto"/>
        <w:right w:val="none" w:sz="0" w:space="0" w:color="auto"/>
      </w:divBdr>
    </w:div>
    <w:div w:id="284896519">
      <w:bodyDiv w:val="1"/>
      <w:marLeft w:val="0"/>
      <w:marRight w:val="0"/>
      <w:marTop w:val="0"/>
      <w:marBottom w:val="0"/>
      <w:divBdr>
        <w:top w:val="none" w:sz="0" w:space="0" w:color="auto"/>
        <w:left w:val="none" w:sz="0" w:space="0" w:color="auto"/>
        <w:bottom w:val="none" w:sz="0" w:space="0" w:color="auto"/>
        <w:right w:val="none" w:sz="0" w:space="0" w:color="auto"/>
      </w:divBdr>
    </w:div>
    <w:div w:id="684090867">
      <w:bodyDiv w:val="1"/>
      <w:marLeft w:val="0"/>
      <w:marRight w:val="0"/>
      <w:marTop w:val="0"/>
      <w:marBottom w:val="0"/>
      <w:divBdr>
        <w:top w:val="none" w:sz="0" w:space="0" w:color="auto"/>
        <w:left w:val="none" w:sz="0" w:space="0" w:color="auto"/>
        <w:bottom w:val="none" w:sz="0" w:space="0" w:color="auto"/>
        <w:right w:val="none" w:sz="0" w:space="0" w:color="auto"/>
      </w:divBdr>
      <w:divsChild>
        <w:div w:id="1363749080">
          <w:marLeft w:val="0"/>
          <w:marRight w:val="0"/>
          <w:marTop w:val="83"/>
          <w:marBottom w:val="0"/>
          <w:divBdr>
            <w:top w:val="none" w:sz="0" w:space="0" w:color="auto"/>
            <w:left w:val="none" w:sz="0" w:space="0" w:color="auto"/>
            <w:bottom w:val="none" w:sz="0" w:space="0" w:color="auto"/>
            <w:right w:val="none" w:sz="0" w:space="0" w:color="auto"/>
          </w:divBdr>
        </w:div>
        <w:div w:id="58525523">
          <w:marLeft w:val="0"/>
          <w:marRight w:val="0"/>
          <w:marTop w:val="83"/>
          <w:marBottom w:val="0"/>
          <w:divBdr>
            <w:top w:val="none" w:sz="0" w:space="0" w:color="auto"/>
            <w:left w:val="none" w:sz="0" w:space="0" w:color="auto"/>
            <w:bottom w:val="none" w:sz="0" w:space="0" w:color="auto"/>
            <w:right w:val="none" w:sz="0" w:space="0" w:color="auto"/>
          </w:divBdr>
        </w:div>
        <w:div w:id="1987539894">
          <w:marLeft w:val="0"/>
          <w:marRight w:val="0"/>
          <w:marTop w:val="83"/>
          <w:marBottom w:val="0"/>
          <w:divBdr>
            <w:top w:val="none" w:sz="0" w:space="0" w:color="auto"/>
            <w:left w:val="none" w:sz="0" w:space="0" w:color="auto"/>
            <w:bottom w:val="none" w:sz="0" w:space="0" w:color="auto"/>
            <w:right w:val="none" w:sz="0" w:space="0" w:color="auto"/>
          </w:divBdr>
        </w:div>
      </w:divsChild>
    </w:div>
    <w:div w:id="738986310">
      <w:bodyDiv w:val="1"/>
      <w:marLeft w:val="0"/>
      <w:marRight w:val="0"/>
      <w:marTop w:val="0"/>
      <w:marBottom w:val="0"/>
      <w:divBdr>
        <w:top w:val="none" w:sz="0" w:space="0" w:color="auto"/>
        <w:left w:val="none" w:sz="0" w:space="0" w:color="auto"/>
        <w:bottom w:val="none" w:sz="0" w:space="0" w:color="auto"/>
        <w:right w:val="none" w:sz="0" w:space="0" w:color="auto"/>
      </w:divBdr>
      <w:divsChild>
        <w:div w:id="1859275558">
          <w:marLeft w:val="0"/>
          <w:marRight w:val="0"/>
          <w:marTop w:val="83"/>
          <w:marBottom w:val="0"/>
          <w:divBdr>
            <w:top w:val="none" w:sz="0" w:space="0" w:color="auto"/>
            <w:left w:val="none" w:sz="0" w:space="0" w:color="auto"/>
            <w:bottom w:val="none" w:sz="0" w:space="0" w:color="auto"/>
            <w:right w:val="none" w:sz="0" w:space="0" w:color="auto"/>
          </w:divBdr>
        </w:div>
        <w:div w:id="347414591">
          <w:marLeft w:val="0"/>
          <w:marRight w:val="0"/>
          <w:marTop w:val="83"/>
          <w:marBottom w:val="0"/>
          <w:divBdr>
            <w:top w:val="none" w:sz="0" w:space="0" w:color="auto"/>
            <w:left w:val="none" w:sz="0" w:space="0" w:color="auto"/>
            <w:bottom w:val="none" w:sz="0" w:space="0" w:color="auto"/>
            <w:right w:val="none" w:sz="0" w:space="0" w:color="auto"/>
          </w:divBdr>
        </w:div>
      </w:divsChild>
    </w:div>
    <w:div w:id="889532282">
      <w:bodyDiv w:val="1"/>
      <w:marLeft w:val="0"/>
      <w:marRight w:val="0"/>
      <w:marTop w:val="0"/>
      <w:marBottom w:val="0"/>
      <w:divBdr>
        <w:top w:val="none" w:sz="0" w:space="0" w:color="auto"/>
        <w:left w:val="none" w:sz="0" w:space="0" w:color="auto"/>
        <w:bottom w:val="none" w:sz="0" w:space="0" w:color="auto"/>
        <w:right w:val="none" w:sz="0" w:space="0" w:color="auto"/>
      </w:divBdr>
    </w:div>
    <w:div w:id="907612664">
      <w:bodyDiv w:val="1"/>
      <w:marLeft w:val="0"/>
      <w:marRight w:val="0"/>
      <w:marTop w:val="0"/>
      <w:marBottom w:val="0"/>
      <w:divBdr>
        <w:top w:val="none" w:sz="0" w:space="0" w:color="auto"/>
        <w:left w:val="none" w:sz="0" w:space="0" w:color="auto"/>
        <w:bottom w:val="none" w:sz="0" w:space="0" w:color="auto"/>
        <w:right w:val="none" w:sz="0" w:space="0" w:color="auto"/>
      </w:divBdr>
      <w:divsChild>
        <w:div w:id="912857985">
          <w:marLeft w:val="0"/>
          <w:marRight w:val="0"/>
          <w:marTop w:val="83"/>
          <w:marBottom w:val="0"/>
          <w:divBdr>
            <w:top w:val="none" w:sz="0" w:space="0" w:color="auto"/>
            <w:left w:val="none" w:sz="0" w:space="0" w:color="auto"/>
            <w:bottom w:val="none" w:sz="0" w:space="0" w:color="auto"/>
            <w:right w:val="none" w:sz="0" w:space="0" w:color="auto"/>
          </w:divBdr>
          <w:divsChild>
            <w:div w:id="1668442904">
              <w:marLeft w:val="0"/>
              <w:marRight w:val="0"/>
              <w:marTop w:val="83"/>
              <w:marBottom w:val="0"/>
              <w:divBdr>
                <w:top w:val="none" w:sz="0" w:space="0" w:color="auto"/>
                <w:left w:val="none" w:sz="0" w:space="0" w:color="auto"/>
                <w:bottom w:val="none" w:sz="0" w:space="0" w:color="auto"/>
                <w:right w:val="none" w:sz="0" w:space="0" w:color="auto"/>
              </w:divBdr>
            </w:div>
            <w:div w:id="23798433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977757584">
      <w:bodyDiv w:val="1"/>
      <w:marLeft w:val="0"/>
      <w:marRight w:val="0"/>
      <w:marTop w:val="0"/>
      <w:marBottom w:val="0"/>
      <w:divBdr>
        <w:top w:val="none" w:sz="0" w:space="0" w:color="auto"/>
        <w:left w:val="none" w:sz="0" w:space="0" w:color="auto"/>
        <w:bottom w:val="none" w:sz="0" w:space="0" w:color="auto"/>
        <w:right w:val="none" w:sz="0" w:space="0" w:color="auto"/>
      </w:divBdr>
      <w:divsChild>
        <w:div w:id="1978022828">
          <w:marLeft w:val="0"/>
          <w:marRight w:val="0"/>
          <w:marTop w:val="83"/>
          <w:marBottom w:val="0"/>
          <w:divBdr>
            <w:top w:val="none" w:sz="0" w:space="0" w:color="auto"/>
            <w:left w:val="none" w:sz="0" w:space="0" w:color="auto"/>
            <w:bottom w:val="none" w:sz="0" w:space="0" w:color="auto"/>
            <w:right w:val="none" w:sz="0" w:space="0" w:color="auto"/>
          </w:divBdr>
        </w:div>
        <w:div w:id="1324894014">
          <w:marLeft w:val="0"/>
          <w:marRight w:val="0"/>
          <w:marTop w:val="83"/>
          <w:marBottom w:val="0"/>
          <w:divBdr>
            <w:top w:val="none" w:sz="0" w:space="0" w:color="auto"/>
            <w:left w:val="none" w:sz="0" w:space="0" w:color="auto"/>
            <w:bottom w:val="none" w:sz="0" w:space="0" w:color="auto"/>
            <w:right w:val="none" w:sz="0" w:space="0" w:color="auto"/>
          </w:divBdr>
        </w:div>
      </w:divsChild>
    </w:div>
    <w:div w:id="1062413648">
      <w:bodyDiv w:val="1"/>
      <w:marLeft w:val="0"/>
      <w:marRight w:val="0"/>
      <w:marTop w:val="0"/>
      <w:marBottom w:val="0"/>
      <w:divBdr>
        <w:top w:val="none" w:sz="0" w:space="0" w:color="auto"/>
        <w:left w:val="none" w:sz="0" w:space="0" w:color="auto"/>
        <w:bottom w:val="none" w:sz="0" w:space="0" w:color="auto"/>
        <w:right w:val="none" w:sz="0" w:space="0" w:color="auto"/>
      </w:divBdr>
    </w:div>
    <w:div w:id="1302464318">
      <w:bodyDiv w:val="1"/>
      <w:marLeft w:val="0"/>
      <w:marRight w:val="0"/>
      <w:marTop w:val="0"/>
      <w:marBottom w:val="0"/>
      <w:divBdr>
        <w:top w:val="none" w:sz="0" w:space="0" w:color="auto"/>
        <w:left w:val="none" w:sz="0" w:space="0" w:color="auto"/>
        <w:bottom w:val="none" w:sz="0" w:space="0" w:color="auto"/>
        <w:right w:val="none" w:sz="0" w:space="0" w:color="auto"/>
      </w:divBdr>
    </w:div>
    <w:div w:id="1672417024">
      <w:bodyDiv w:val="1"/>
      <w:marLeft w:val="0"/>
      <w:marRight w:val="0"/>
      <w:marTop w:val="0"/>
      <w:marBottom w:val="0"/>
      <w:divBdr>
        <w:top w:val="none" w:sz="0" w:space="0" w:color="auto"/>
        <w:left w:val="none" w:sz="0" w:space="0" w:color="auto"/>
        <w:bottom w:val="none" w:sz="0" w:space="0" w:color="auto"/>
        <w:right w:val="none" w:sz="0" w:space="0" w:color="auto"/>
      </w:divBdr>
      <w:divsChild>
        <w:div w:id="1998797946">
          <w:marLeft w:val="0"/>
          <w:marRight w:val="0"/>
          <w:marTop w:val="83"/>
          <w:marBottom w:val="0"/>
          <w:divBdr>
            <w:top w:val="none" w:sz="0" w:space="0" w:color="auto"/>
            <w:left w:val="none" w:sz="0" w:space="0" w:color="auto"/>
            <w:bottom w:val="none" w:sz="0" w:space="0" w:color="auto"/>
            <w:right w:val="none" w:sz="0" w:space="0" w:color="auto"/>
          </w:divBdr>
        </w:div>
        <w:div w:id="988636643">
          <w:marLeft w:val="0"/>
          <w:marRight w:val="0"/>
          <w:marTop w:val="83"/>
          <w:marBottom w:val="0"/>
          <w:divBdr>
            <w:top w:val="none" w:sz="0" w:space="0" w:color="auto"/>
            <w:left w:val="none" w:sz="0" w:space="0" w:color="auto"/>
            <w:bottom w:val="none" w:sz="0" w:space="0" w:color="auto"/>
            <w:right w:val="none" w:sz="0" w:space="0" w:color="auto"/>
          </w:divBdr>
        </w:div>
        <w:div w:id="1348211813">
          <w:marLeft w:val="0"/>
          <w:marRight w:val="0"/>
          <w:marTop w:val="83"/>
          <w:marBottom w:val="0"/>
          <w:divBdr>
            <w:top w:val="none" w:sz="0" w:space="0" w:color="auto"/>
            <w:left w:val="none" w:sz="0" w:space="0" w:color="auto"/>
            <w:bottom w:val="none" w:sz="0" w:space="0" w:color="auto"/>
            <w:right w:val="none" w:sz="0" w:space="0" w:color="auto"/>
          </w:divBdr>
        </w:div>
      </w:divsChild>
    </w:div>
    <w:div w:id="1753700341">
      <w:bodyDiv w:val="1"/>
      <w:marLeft w:val="0"/>
      <w:marRight w:val="0"/>
      <w:marTop w:val="0"/>
      <w:marBottom w:val="0"/>
      <w:divBdr>
        <w:top w:val="none" w:sz="0" w:space="0" w:color="auto"/>
        <w:left w:val="none" w:sz="0" w:space="0" w:color="auto"/>
        <w:bottom w:val="none" w:sz="0" w:space="0" w:color="auto"/>
        <w:right w:val="none" w:sz="0" w:space="0" w:color="auto"/>
      </w:divBdr>
    </w:div>
    <w:div w:id="1994260882">
      <w:bodyDiv w:val="1"/>
      <w:marLeft w:val="0"/>
      <w:marRight w:val="0"/>
      <w:marTop w:val="0"/>
      <w:marBottom w:val="0"/>
      <w:divBdr>
        <w:top w:val="none" w:sz="0" w:space="0" w:color="auto"/>
        <w:left w:val="none" w:sz="0" w:space="0" w:color="auto"/>
        <w:bottom w:val="none" w:sz="0" w:space="0" w:color="auto"/>
        <w:right w:val="none" w:sz="0" w:space="0" w:color="auto"/>
      </w:divBdr>
      <w:divsChild>
        <w:div w:id="208109398">
          <w:marLeft w:val="0"/>
          <w:marRight w:val="0"/>
          <w:marTop w:val="83"/>
          <w:marBottom w:val="0"/>
          <w:divBdr>
            <w:top w:val="none" w:sz="0" w:space="0" w:color="auto"/>
            <w:left w:val="none" w:sz="0" w:space="0" w:color="auto"/>
            <w:bottom w:val="none" w:sz="0" w:space="0" w:color="auto"/>
            <w:right w:val="none" w:sz="0" w:space="0" w:color="auto"/>
          </w:divBdr>
        </w:div>
        <w:div w:id="826751457">
          <w:marLeft w:val="0"/>
          <w:marRight w:val="0"/>
          <w:marTop w:val="83"/>
          <w:marBottom w:val="0"/>
          <w:divBdr>
            <w:top w:val="none" w:sz="0" w:space="0" w:color="auto"/>
            <w:left w:val="none" w:sz="0" w:space="0" w:color="auto"/>
            <w:bottom w:val="none" w:sz="0" w:space="0" w:color="auto"/>
            <w:right w:val="none" w:sz="0" w:space="0" w:color="auto"/>
          </w:divBdr>
          <w:divsChild>
            <w:div w:id="1170873018">
              <w:marLeft w:val="0"/>
              <w:marRight w:val="0"/>
              <w:marTop w:val="83"/>
              <w:marBottom w:val="0"/>
              <w:divBdr>
                <w:top w:val="none" w:sz="0" w:space="0" w:color="auto"/>
                <w:left w:val="none" w:sz="0" w:space="0" w:color="auto"/>
                <w:bottom w:val="none" w:sz="0" w:space="0" w:color="auto"/>
                <w:right w:val="none" w:sz="0" w:space="0" w:color="auto"/>
              </w:divBdr>
              <w:divsChild>
                <w:div w:id="1030762409">
                  <w:marLeft w:val="0"/>
                  <w:marRight w:val="0"/>
                  <w:marTop w:val="83"/>
                  <w:marBottom w:val="0"/>
                  <w:divBdr>
                    <w:top w:val="none" w:sz="0" w:space="0" w:color="auto"/>
                    <w:left w:val="none" w:sz="0" w:space="0" w:color="auto"/>
                    <w:bottom w:val="none" w:sz="0" w:space="0" w:color="auto"/>
                    <w:right w:val="none" w:sz="0" w:space="0" w:color="auto"/>
                  </w:divBdr>
                </w:div>
                <w:div w:id="101733757">
                  <w:marLeft w:val="0"/>
                  <w:marRight w:val="0"/>
                  <w:marTop w:val="83"/>
                  <w:marBottom w:val="0"/>
                  <w:divBdr>
                    <w:top w:val="none" w:sz="0" w:space="0" w:color="auto"/>
                    <w:left w:val="none" w:sz="0" w:space="0" w:color="auto"/>
                    <w:bottom w:val="none" w:sz="0" w:space="0" w:color="auto"/>
                    <w:right w:val="none" w:sz="0" w:space="0" w:color="auto"/>
                  </w:divBdr>
                </w:div>
              </w:divsChild>
            </w:div>
            <w:div w:id="193766757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63401430">
      <w:bodyDiv w:val="1"/>
      <w:marLeft w:val="0"/>
      <w:marRight w:val="0"/>
      <w:marTop w:val="0"/>
      <w:marBottom w:val="0"/>
      <w:divBdr>
        <w:top w:val="none" w:sz="0" w:space="0" w:color="auto"/>
        <w:left w:val="none" w:sz="0" w:space="0" w:color="auto"/>
        <w:bottom w:val="none" w:sz="0" w:space="0" w:color="auto"/>
        <w:right w:val="none" w:sz="0" w:space="0" w:color="auto"/>
      </w:divBdr>
      <w:divsChild>
        <w:div w:id="341206819">
          <w:marLeft w:val="0"/>
          <w:marRight w:val="0"/>
          <w:marTop w:val="83"/>
          <w:marBottom w:val="0"/>
          <w:divBdr>
            <w:top w:val="none" w:sz="0" w:space="0" w:color="auto"/>
            <w:left w:val="none" w:sz="0" w:space="0" w:color="auto"/>
            <w:bottom w:val="none" w:sz="0" w:space="0" w:color="auto"/>
            <w:right w:val="none" w:sz="0" w:space="0" w:color="auto"/>
          </w:divBdr>
        </w:div>
        <w:div w:id="1874731240">
          <w:marLeft w:val="0"/>
          <w:marRight w:val="0"/>
          <w:marTop w:val="83"/>
          <w:marBottom w:val="0"/>
          <w:divBdr>
            <w:top w:val="none" w:sz="0" w:space="0" w:color="auto"/>
            <w:left w:val="none" w:sz="0" w:space="0" w:color="auto"/>
            <w:bottom w:val="none" w:sz="0" w:space="0" w:color="auto"/>
            <w:right w:val="none" w:sz="0" w:space="0" w:color="auto"/>
          </w:divBdr>
          <w:divsChild>
            <w:div w:id="846405073">
              <w:marLeft w:val="0"/>
              <w:marRight w:val="0"/>
              <w:marTop w:val="83"/>
              <w:marBottom w:val="0"/>
              <w:divBdr>
                <w:top w:val="none" w:sz="0" w:space="0" w:color="auto"/>
                <w:left w:val="none" w:sz="0" w:space="0" w:color="auto"/>
                <w:bottom w:val="none" w:sz="0" w:space="0" w:color="auto"/>
                <w:right w:val="none" w:sz="0" w:space="0" w:color="auto"/>
              </w:divBdr>
              <w:divsChild>
                <w:div w:id="1479155120">
                  <w:marLeft w:val="0"/>
                  <w:marRight w:val="0"/>
                  <w:marTop w:val="83"/>
                  <w:marBottom w:val="0"/>
                  <w:divBdr>
                    <w:top w:val="none" w:sz="0" w:space="0" w:color="auto"/>
                    <w:left w:val="none" w:sz="0" w:space="0" w:color="auto"/>
                    <w:bottom w:val="none" w:sz="0" w:space="0" w:color="auto"/>
                    <w:right w:val="none" w:sz="0" w:space="0" w:color="auto"/>
                  </w:divBdr>
                </w:div>
                <w:div w:id="1952856473">
                  <w:marLeft w:val="0"/>
                  <w:marRight w:val="0"/>
                  <w:marTop w:val="83"/>
                  <w:marBottom w:val="0"/>
                  <w:divBdr>
                    <w:top w:val="none" w:sz="0" w:space="0" w:color="auto"/>
                    <w:left w:val="none" w:sz="0" w:space="0" w:color="auto"/>
                    <w:bottom w:val="none" w:sz="0" w:space="0" w:color="auto"/>
                    <w:right w:val="none" w:sz="0" w:space="0" w:color="auto"/>
                  </w:divBdr>
                </w:div>
              </w:divsChild>
            </w:div>
            <w:div w:id="155018882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12090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legislation.govt.nz/regulation/public/2010/0036/latest/whole.html" TargetMode="External" Id="rId6" /><Relationship Type="http://schemas.openxmlformats.org/officeDocument/2006/relationships/customXml" Target="../customXml/item3.xml" Id="rId11" /><Relationship Type="http://schemas.openxmlformats.org/officeDocument/2006/relationships/hyperlink" Target="https://www.legislation.govt.nz/regulation/public/2010/0036/latest/whole.html" TargetMode="Externa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image" Target="/media/image.png" Id="R42e54bd41ca84dff" /><Relationship Type="http://schemas.openxmlformats.org/officeDocument/2006/relationships/image" Target="/media/image2.png" Id="Ra04f359a113b4438" /><Relationship Type="http://schemas.openxmlformats.org/officeDocument/2006/relationships/image" Target="/media/image3.png" Id="R3b1db0dfebc149da" /><Relationship Type="http://schemas.openxmlformats.org/officeDocument/2006/relationships/image" Target="/media/image4.png" Id="Rf5f2df74a6eb48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42D08F8855D84AA3323B5B6131C1C5" ma:contentTypeVersion="10" ma:contentTypeDescription="Create a new document." ma:contentTypeScope="" ma:versionID="50d9ff4e9688db328707361680d34982">
  <xsd:schema xmlns:xsd="http://www.w3.org/2001/XMLSchema" xmlns:xs="http://www.w3.org/2001/XMLSchema" xmlns:p="http://schemas.microsoft.com/office/2006/metadata/properties" xmlns:ns2="58bfcc0d-cf15-4f27-8771-949d83224519" targetNamespace="http://schemas.microsoft.com/office/2006/metadata/properties" ma:root="true" ma:fieldsID="c03fdb18aaf7446f4f149df131d7e555" ns2:_="">
    <xsd:import namespace="58bfcc0d-cf15-4f27-8771-949d832245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cc0d-cf15-4f27-8771-949d83224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C6DEB-F8DE-464C-B437-74467CBC5884}"/>
</file>

<file path=customXml/itemProps2.xml><?xml version="1.0" encoding="utf-8"?>
<ds:datastoreItem xmlns:ds="http://schemas.openxmlformats.org/officeDocument/2006/customXml" ds:itemID="{04A054AE-6552-455C-B171-6A26A14D30C6}"/>
</file>

<file path=customXml/itemProps3.xml><?xml version="1.0" encoding="utf-8"?>
<ds:datastoreItem xmlns:ds="http://schemas.openxmlformats.org/officeDocument/2006/customXml" ds:itemID="{3EF7EA71-4487-400A-BA83-A83C884241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Boon</dc:creator>
  <cp:keywords/>
  <dc:description/>
  <cp:lastModifiedBy>Jacob Boon</cp:lastModifiedBy>
  <cp:revision>8</cp:revision>
  <dcterms:created xsi:type="dcterms:W3CDTF">2021-07-28T03:44:00Z</dcterms:created>
  <dcterms:modified xsi:type="dcterms:W3CDTF">2021-09-06T00:55:11Z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0x0101001642D08F8855D84AA3323B5B6131C1C5</vt:lpwstr>
  </property>
</Properties>
</file>